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C057B" w14:textId="1F94A10B" w:rsidR="0023270C" w:rsidRPr="00216CD9" w:rsidRDefault="00087537" w:rsidP="00216CD9">
      <w:pPr>
        <w:keepNext/>
        <w:contextualSpacing/>
        <w:jc w:val="center"/>
        <w:outlineLvl w:val="2"/>
        <w:rPr>
          <w:b/>
          <w:sz w:val="25"/>
          <w:szCs w:val="25"/>
          <w:lang w:eastAsia="en-US"/>
        </w:rPr>
      </w:pPr>
      <w:r w:rsidRPr="00216CD9">
        <w:rPr>
          <w:b/>
          <w:sz w:val="25"/>
          <w:szCs w:val="25"/>
          <w:lang w:eastAsia="en-US"/>
        </w:rPr>
        <w:t xml:space="preserve">Протокол </w:t>
      </w:r>
      <w:r w:rsidR="0023270C" w:rsidRPr="00216CD9">
        <w:rPr>
          <w:b/>
          <w:sz w:val="25"/>
          <w:szCs w:val="25"/>
          <w:lang w:eastAsia="en-US"/>
        </w:rPr>
        <w:t>допуска к участию в тендере по закупкам услуг</w:t>
      </w:r>
    </w:p>
    <w:p w14:paraId="0B6B0179" w14:textId="7CA0217C" w:rsidR="0023270C" w:rsidRPr="00216CD9" w:rsidRDefault="0023270C" w:rsidP="00216CD9">
      <w:pPr>
        <w:keepNext/>
        <w:contextualSpacing/>
        <w:jc w:val="center"/>
        <w:outlineLvl w:val="2"/>
        <w:rPr>
          <w:b/>
          <w:sz w:val="25"/>
          <w:szCs w:val="25"/>
          <w:lang w:val="kk-KZ"/>
        </w:rPr>
      </w:pPr>
      <w:r w:rsidRPr="00216CD9">
        <w:rPr>
          <w:b/>
          <w:sz w:val="25"/>
          <w:szCs w:val="25"/>
          <w:lang w:eastAsia="en-US"/>
        </w:rPr>
        <w:t>«Физическая охрана филиала НАО «Республиканская физико-математическая школа»</w:t>
      </w:r>
      <w:r w:rsidR="0015459E" w:rsidRPr="00216CD9">
        <w:rPr>
          <w:b/>
          <w:sz w:val="25"/>
          <w:szCs w:val="25"/>
          <w:lang w:eastAsia="en-US"/>
        </w:rPr>
        <w:t xml:space="preserve"> в г. </w:t>
      </w:r>
      <w:proofErr w:type="spellStart"/>
      <w:r w:rsidR="0015459E" w:rsidRPr="00216CD9">
        <w:rPr>
          <w:b/>
          <w:sz w:val="25"/>
          <w:szCs w:val="25"/>
          <w:lang w:eastAsia="en-US"/>
        </w:rPr>
        <w:t>Нур</w:t>
      </w:r>
      <w:proofErr w:type="spellEnd"/>
      <w:r w:rsidR="0015459E" w:rsidRPr="00216CD9">
        <w:rPr>
          <w:b/>
          <w:sz w:val="25"/>
          <w:szCs w:val="25"/>
          <w:lang w:eastAsia="en-US"/>
        </w:rPr>
        <w:t>-Султан способом тендера</w:t>
      </w:r>
      <w:r w:rsidRPr="00216CD9">
        <w:rPr>
          <w:b/>
          <w:sz w:val="25"/>
          <w:szCs w:val="25"/>
          <w:lang w:eastAsia="en-US"/>
        </w:rPr>
        <w:t xml:space="preserve"> </w:t>
      </w:r>
      <w:r w:rsidRPr="00216CD9">
        <w:rPr>
          <w:b/>
          <w:sz w:val="25"/>
          <w:szCs w:val="25"/>
        </w:rPr>
        <w:t>№2022-01-01/</w:t>
      </w:r>
      <w:r w:rsidRPr="00216CD9">
        <w:rPr>
          <w:b/>
          <w:sz w:val="25"/>
          <w:szCs w:val="25"/>
          <w:lang w:val="kk-KZ"/>
        </w:rPr>
        <w:t>Д</w:t>
      </w:r>
    </w:p>
    <w:p w14:paraId="3DB87D8D" w14:textId="23F2D32D" w:rsidR="00022524" w:rsidRPr="00216CD9" w:rsidRDefault="00022524" w:rsidP="00216CD9">
      <w:pPr>
        <w:contextualSpacing/>
        <w:jc w:val="center"/>
        <w:rPr>
          <w:b/>
          <w:sz w:val="25"/>
          <w:szCs w:val="25"/>
        </w:rPr>
      </w:pPr>
    </w:p>
    <w:p w14:paraId="4F0DE9EC" w14:textId="77777777" w:rsidR="004B6E21" w:rsidRPr="00216CD9" w:rsidRDefault="004B6E21" w:rsidP="00216CD9">
      <w:pPr>
        <w:tabs>
          <w:tab w:val="left" w:pos="12900"/>
        </w:tabs>
        <w:ind w:right="-708"/>
        <w:contextualSpacing/>
        <w:jc w:val="both"/>
        <w:rPr>
          <w:i/>
          <w:sz w:val="25"/>
          <w:szCs w:val="25"/>
        </w:rPr>
      </w:pPr>
    </w:p>
    <w:p w14:paraId="63D3E962" w14:textId="25A867EF" w:rsidR="004B6E21" w:rsidRPr="00216CD9" w:rsidRDefault="00C7131F" w:rsidP="00216CD9">
      <w:pPr>
        <w:pStyle w:val="a6"/>
        <w:spacing w:after="0" w:line="240" w:lineRule="auto"/>
        <w:contextualSpacing/>
        <w:jc w:val="both"/>
        <w:rPr>
          <w:b/>
          <w:iCs/>
          <w:sz w:val="25"/>
          <w:szCs w:val="25"/>
        </w:rPr>
      </w:pPr>
      <w:r w:rsidRPr="00216CD9">
        <w:rPr>
          <w:b/>
          <w:iCs/>
          <w:sz w:val="25"/>
          <w:szCs w:val="25"/>
        </w:rPr>
        <w:t xml:space="preserve">г. </w:t>
      </w:r>
      <w:proofErr w:type="spellStart"/>
      <w:r w:rsidRPr="00216CD9">
        <w:rPr>
          <w:b/>
          <w:iCs/>
          <w:sz w:val="25"/>
          <w:szCs w:val="25"/>
        </w:rPr>
        <w:t>Нур</w:t>
      </w:r>
      <w:proofErr w:type="spellEnd"/>
      <w:r w:rsidRPr="00216CD9">
        <w:rPr>
          <w:b/>
          <w:iCs/>
          <w:sz w:val="25"/>
          <w:szCs w:val="25"/>
        </w:rPr>
        <w:t>-Султан</w:t>
      </w:r>
      <w:r w:rsidR="00F771D8" w:rsidRPr="00216CD9">
        <w:rPr>
          <w:b/>
          <w:iCs/>
          <w:sz w:val="25"/>
          <w:szCs w:val="25"/>
        </w:rPr>
        <w:t xml:space="preserve">                                                                                                                  </w:t>
      </w:r>
      <w:r w:rsidR="00582CD5" w:rsidRPr="00216CD9">
        <w:rPr>
          <w:b/>
          <w:iCs/>
          <w:sz w:val="25"/>
          <w:szCs w:val="25"/>
        </w:rPr>
        <w:t xml:space="preserve">            </w:t>
      </w:r>
      <w:r w:rsidRPr="00216CD9">
        <w:rPr>
          <w:iCs/>
          <w:sz w:val="25"/>
          <w:szCs w:val="25"/>
          <w:lang w:val="kk-KZ"/>
        </w:rPr>
        <w:t>2</w:t>
      </w:r>
      <w:r w:rsidR="00710DF5">
        <w:rPr>
          <w:iCs/>
          <w:sz w:val="25"/>
          <w:szCs w:val="25"/>
          <w:lang w:val="kk-KZ"/>
        </w:rPr>
        <w:t>8</w:t>
      </w:r>
      <w:r w:rsidRPr="00216CD9">
        <w:rPr>
          <w:iCs/>
          <w:sz w:val="25"/>
          <w:szCs w:val="25"/>
        </w:rPr>
        <w:t>.0</w:t>
      </w:r>
      <w:r w:rsidR="008E434C" w:rsidRPr="00216CD9">
        <w:rPr>
          <w:iCs/>
          <w:sz w:val="25"/>
          <w:szCs w:val="25"/>
        </w:rPr>
        <w:t>1</w:t>
      </w:r>
      <w:r w:rsidRPr="00216CD9">
        <w:rPr>
          <w:iCs/>
          <w:sz w:val="25"/>
          <w:szCs w:val="25"/>
        </w:rPr>
        <w:t>.202</w:t>
      </w:r>
      <w:r w:rsidR="00D546A2" w:rsidRPr="00216CD9">
        <w:rPr>
          <w:iCs/>
          <w:sz w:val="25"/>
          <w:szCs w:val="25"/>
        </w:rPr>
        <w:t>2</w:t>
      </w:r>
      <w:r w:rsidRPr="00216CD9">
        <w:rPr>
          <w:iCs/>
          <w:sz w:val="25"/>
          <w:szCs w:val="25"/>
        </w:rPr>
        <w:t>г.</w:t>
      </w:r>
      <w:r w:rsidRPr="00216CD9">
        <w:rPr>
          <w:iCs/>
          <w:sz w:val="25"/>
          <w:szCs w:val="25"/>
        </w:rPr>
        <w:t xml:space="preserve"> </w:t>
      </w:r>
      <w:r w:rsidR="00582CD5" w:rsidRPr="00216CD9">
        <w:rPr>
          <w:b/>
          <w:iCs/>
          <w:sz w:val="25"/>
          <w:szCs w:val="25"/>
        </w:rPr>
        <w:t xml:space="preserve">              </w:t>
      </w:r>
      <w:r w:rsidRPr="00216CD9">
        <w:rPr>
          <w:b/>
          <w:iCs/>
          <w:sz w:val="25"/>
          <w:szCs w:val="25"/>
        </w:rPr>
        <w:t xml:space="preserve"> </w:t>
      </w:r>
    </w:p>
    <w:p w14:paraId="53AD4EF5" w14:textId="2D1B1918" w:rsidR="00E83549" w:rsidRDefault="00E83549" w:rsidP="00216CD9">
      <w:pPr>
        <w:pStyle w:val="a6"/>
        <w:spacing w:after="0" w:line="240" w:lineRule="auto"/>
        <w:ind w:right="-1"/>
        <w:contextualSpacing/>
        <w:jc w:val="right"/>
        <w:rPr>
          <w:sz w:val="25"/>
          <w:szCs w:val="25"/>
        </w:rPr>
      </w:pPr>
      <w:r w:rsidRPr="00216CD9">
        <w:rPr>
          <w:sz w:val="25"/>
          <w:szCs w:val="25"/>
        </w:rPr>
        <w:t>1</w:t>
      </w:r>
      <w:r w:rsidR="0023270C" w:rsidRPr="00216CD9">
        <w:rPr>
          <w:sz w:val="25"/>
          <w:szCs w:val="25"/>
        </w:rPr>
        <w:t>0 часов 3</w:t>
      </w:r>
      <w:r w:rsidRPr="00216CD9">
        <w:rPr>
          <w:sz w:val="25"/>
          <w:szCs w:val="25"/>
        </w:rPr>
        <w:t>0 минут</w:t>
      </w:r>
    </w:p>
    <w:p w14:paraId="359C3752" w14:textId="77777777" w:rsidR="00216CD9" w:rsidRPr="00216CD9" w:rsidRDefault="00216CD9" w:rsidP="00216CD9">
      <w:pPr>
        <w:pStyle w:val="a6"/>
        <w:spacing w:after="0" w:line="240" w:lineRule="auto"/>
        <w:ind w:right="-1"/>
        <w:contextualSpacing/>
        <w:jc w:val="right"/>
        <w:rPr>
          <w:sz w:val="25"/>
          <w:szCs w:val="25"/>
        </w:rPr>
      </w:pPr>
    </w:p>
    <w:p w14:paraId="3ABAFE99" w14:textId="2347862F" w:rsidR="004B6E21" w:rsidRPr="00216CD9" w:rsidRDefault="004B6E21" w:rsidP="00216CD9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sz w:val="25"/>
          <w:szCs w:val="25"/>
        </w:rPr>
      </w:pPr>
      <w:r w:rsidRPr="00216CD9">
        <w:rPr>
          <w:sz w:val="25"/>
          <w:szCs w:val="25"/>
        </w:rPr>
        <w:t>Состав тендерной комиссии:</w:t>
      </w:r>
    </w:p>
    <w:tbl>
      <w:tblPr>
        <w:tblW w:w="985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838"/>
        <w:gridCol w:w="3690"/>
        <w:gridCol w:w="2771"/>
      </w:tblGrid>
      <w:tr w:rsidR="001E3860" w:rsidRPr="00216CD9" w14:paraId="0D378075" w14:textId="77777777" w:rsidTr="00FE01D7">
        <w:trPr>
          <w:trHeight w:val="277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4E94B" w14:textId="77777777" w:rsidR="001E3860" w:rsidRPr="00216CD9" w:rsidRDefault="001E3860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D6A1A3" w14:textId="77777777" w:rsidR="001E3860" w:rsidRPr="00216CD9" w:rsidRDefault="001E3860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Ф. И. О.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3B751" w14:textId="77777777" w:rsidR="001E3860" w:rsidRPr="00216CD9" w:rsidRDefault="001E3860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Должность в организации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9C74BF" w14:textId="77777777" w:rsidR="001E3860" w:rsidRPr="00216CD9" w:rsidRDefault="001E3860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Роль в комиссии</w:t>
            </w:r>
          </w:p>
        </w:tc>
      </w:tr>
      <w:tr w:rsidR="00AC11F5" w:rsidRPr="00216CD9" w14:paraId="299766D1" w14:textId="77777777" w:rsidTr="00651D61">
        <w:trPr>
          <w:trHeight w:val="543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47BD68" w14:textId="77777777" w:rsidR="00AC11F5" w:rsidRPr="00216CD9" w:rsidRDefault="00AC11F5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A06E6" w14:textId="0FF4325A" w:rsidR="00AC11F5" w:rsidRPr="00216CD9" w:rsidRDefault="00AC11F5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Калиев Р.С. 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78C04" w14:textId="7C134680" w:rsidR="00AC11F5" w:rsidRPr="00216CD9" w:rsidRDefault="00AC11F5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Директор ФНАО РФМШ в г.</w:t>
            </w:r>
            <w:proofErr w:type="spellStart"/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Нур</w:t>
            </w:r>
            <w:proofErr w:type="spellEnd"/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-Султан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337189" w14:textId="77777777" w:rsidR="00AC11F5" w:rsidRPr="00216CD9" w:rsidRDefault="00AC11F5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Председатель комиссии</w:t>
            </w:r>
          </w:p>
        </w:tc>
      </w:tr>
      <w:tr w:rsidR="002401C1" w:rsidRPr="00216CD9" w14:paraId="7444BD27" w14:textId="77777777" w:rsidTr="00651D61">
        <w:trPr>
          <w:trHeight w:val="555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035CB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2C8CBC" w14:textId="57CAED32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Айдарова</w:t>
            </w:r>
            <w:proofErr w:type="spellEnd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Г.Е.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FAF90" w14:textId="1EFA7F04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Заместитель директора по УР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EE1AF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Заместитель председателя</w:t>
            </w:r>
          </w:p>
        </w:tc>
      </w:tr>
      <w:tr w:rsidR="002401C1" w:rsidRPr="00216CD9" w14:paraId="70CDE462" w14:textId="77777777" w:rsidTr="00651D61">
        <w:trPr>
          <w:trHeight w:val="555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19856B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202446" w14:textId="0AE78CDB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Оспанова</w:t>
            </w:r>
            <w:proofErr w:type="spellEnd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Г.Г.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C796E" w14:textId="70135D36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Заместитель директора по УР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B4F4C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Член комиссии</w:t>
            </w:r>
          </w:p>
        </w:tc>
      </w:tr>
      <w:tr w:rsidR="002401C1" w:rsidRPr="00216CD9" w14:paraId="24BE3FD0" w14:textId="77777777" w:rsidTr="00651D61">
        <w:trPr>
          <w:trHeight w:val="555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BF7246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8FA5D8" w14:textId="31EBCE8A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Кайырбекова</w:t>
            </w:r>
            <w:proofErr w:type="spellEnd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А.Б.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A3512" w14:textId="3E5F499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Заведующая АХЧ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32D911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Член комиссии</w:t>
            </w:r>
          </w:p>
        </w:tc>
      </w:tr>
      <w:tr w:rsidR="002401C1" w:rsidRPr="00216CD9" w14:paraId="4F1841B8" w14:textId="77777777" w:rsidTr="00AE2301">
        <w:trPr>
          <w:trHeight w:val="595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2D1D9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595004" w14:textId="68970E4E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val="kk-KZ"/>
              </w:rPr>
              <w:t>Киялов М.Г.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5F8FA8" w14:textId="060CA81F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val="kk-KZ" w:eastAsia="ru-RU"/>
              </w:rPr>
              <w:t>Юрист филиала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16F095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Член комиссии</w:t>
            </w:r>
          </w:p>
        </w:tc>
      </w:tr>
      <w:tr w:rsidR="002401C1" w:rsidRPr="00216CD9" w14:paraId="33E76BBE" w14:textId="77777777" w:rsidTr="00AE2301">
        <w:trPr>
          <w:trHeight w:val="548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9E1585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AC7BCF" w14:textId="2E9A6250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Ш</w:t>
            </w:r>
            <w:r w:rsidRPr="00216CD9">
              <w:rPr>
                <w:rFonts w:ascii="Times New Roman" w:eastAsia="Times New Roman" w:hAnsi="Times New Roman"/>
                <w:sz w:val="25"/>
                <w:szCs w:val="25"/>
                <w:lang w:val="kk-KZ" w:eastAsia="ru-RU"/>
              </w:rPr>
              <w:t>ә</w:t>
            </w: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</w:t>
            </w:r>
            <w:r w:rsidRPr="00216CD9">
              <w:rPr>
                <w:rFonts w:ascii="Times New Roman" w:eastAsia="Times New Roman" w:hAnsi="Times New Roman"/>
                <w:sz w:val="25"/>
                <w:szCs w:val="25"/>
                <w:lang w:val="kk-KZ" w:eastAsia="ru-RU"/>
              </w:rPr>
              <w:t>і</w:t>
            </w: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 Д.О.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6B501" w14:textId="73BA619D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Инженер по ТБ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2AA422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Член комиссии</w:t>
            </w:r>
          </w:p>
        </w:tc>
      </w:tr>
      <w:tr w:rsidR="002401C1" w:rsidRPr="00216CD9" w14:paraId="428AEA65" w14:textId="77777777" w:rsidTr="00AE2301">
        <w:trPr>
          <w:trHeight w:val="53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1D2520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612F2" w14:textId="503FB9F9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val="kk-KZ" w:eastAsia="ru-RU"/>
              </w:rPr>
              <w:t>Сулейменов А.Р.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18AFC" w14:textId="37CE5BB3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Менеджер 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2D9A71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Член комиссии</w:t>
            </w:r>
          </w:p>
        </w:tc>
      </w:tr>
      <w:tr w:rsidR="002401C1" w:rsidRPr="00216CD9" w14:paraId="17E7D402" w14:textId="77777777" w:rsidTr="00651D61">
        <w:trPr>
          <w:trHeight w:val="543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4EFC95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CBC70" w14:textId="51A4A3EA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Алимов Е.К.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160C7F" w14:textId="3431181B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Специалист по закупкам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EA4F0F" w14:textId="77777777" w:rsidR="002401C1" w:rsidRPr="00216CD9" w:rsidRDefault="002401C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Секретарь комиссии</w:t>
            </w:r>
          </w:p>
        </w:tc>
      </w:tr>
    </w:tbl>
    <w:p w14:paraId="09F387E7" w14:textId="77777777" w:rsidR="00B53F31" w:rsidRPr="00216CD9" w:rsidRDefault="00B53F31" w:rsidP="00216CD9">
      <w:pPr>
        <w:pStyle w:val="a6"/>
        <w:spacing w:after="0" w:line="240" w:lineRule="auto"/>
        <w:ind w:left="720"/>
        <w:contextualSpacing/>
        <w:jc w:val="both"/>
        <w:rPr>
          <w:sz w:val="25"/>
          <w:szCs w:val="25"/>
        </w:rPr>
      </w:pPr>
    </w:p>
    <w:p w14:paraId="540B9BF8" w14:textId="77777777" w:rsidR="004B6E21" w:rsidRPr="00216CD9" w:rsidRDefault="004B6E21" w:rsidP="00216CD9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sz w:val="25"/>
          <w:szCs w:val="25"/>
        </w:rPr>
      </w:pPr>
      <w:r w:rsidRPr="00216CD9">
        <w:rPr>
          <w:sz w:val="25"/>
          <w:szCs w:val="25"/>
        </w:rPr>
        <w:t>Информация о представленных заявках на участие в тендере (лоте) (</w:t>
      </w:r>
      <w:r w:rsidRPr="00216CD9">
        <w:rPr>
          <w:i/>
          <w:iCs/>
          <w:sz w:val="25"/>
          <w:szCs w:val="25"/>
        </w:rPr>
        <w:t>по хронологии</w:t>
      </w:r>
      <w:r w:rsidRPr="00216CD9">
        <w:rPr>
          <w:sz w:val="25"/>
          <w:szCs w:val="25"/>
        </w:rPr>
        <w:t xml:space="preserve">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62"/>
        <w:gridCol w:w="2690"/>
        <w:gridCol w:w="1843"/>
        <w:gridCol w:w="2410"/>
        <w:gridCol w:w="2126"/>
      </w:tblGrid>
      <w:tr w:rsidR="002D3D27" w:rsidRPr="00216CD9" w14:paraId="25740BD6" w14:textId="77777777" w:rsidTr="00A853A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54E1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 п/п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42923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DEAF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БИН (ИИН)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B78A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Адрес местонахождения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70C6A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Дата и время предоставления заявок </w:t>
            </w:r>
          </w:p>
        </w:tc>
      </w:tr>
      <w:tr w:rsidR="001E3860" w:rsidRPr="00216CD9" w14:paraId="4385735A" w14:textId="77777777" w:rsidTr="00A853A5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D599" w14:textId="77777777" w:rsidR="001E3860" w:rsidRPr="00216CD9" w:rsidRDefault="001E3860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D545" w14:textId="30B5A3EF" w:rsidR="001E3860" w:rsidRPr="00216CD9" w:rsidRDefault="001E3860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  <w:lang w:val="en-US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ТОО </w:t>
            </w:r>
            <w:r w:rsidR="00AC11F5"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«</w:t>
            </w:r>
            <w:r w:rsidR="00AC11F5" w:rsidRPr="00216C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Профессионал-Секьюрити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»</w:t>
            </w:r>
          </w:p>
          <w:p w14:paraId="130FE9AE" w14:textId="7E6E38BE" w:rsidR="001E3860" w:rsidRPr="00216CD9" w:rsidRDefault="001E3860" w:rsidP="00216CD9">
            <w:pPr>
              <w:contextualSpacing/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36FF4" w14:textId="7B7E7F28" w:rsidR="001E3860" w:rsidRPr="00216CD9" w:rsidRDefault="009E794D" w:rsidP="00216CD9">
            <w:pPr>
              <w:contextualSpacing/>
              <w:jc w:val="both"/>
              <w:rPr>
                <w:color w:val="000000"/>
                <w:sz w:val="25"/>
                <w:szCs w:val="25"/>
              </w:rPr>
            </w:pPr>
            <w:r w:rsidRPr="00216CD9">
              <w:rPr>
                <w:rFonts w:eastAsia="Calibri"/>
                <w:sz w:val="25"/>
                <w:szCs w:val="25"/>
                <w:lang w:eastAsia="en-US"/>
              </w:rPr>
              <w:t>070140011605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ABEF4" w14:textId="7E87B6DB" w:rsidR="001E3860" w:rsidRPr="00216CD9" w:rsidRDefault="001E3860" w:rsidP="00216CD9">
            <w:pPr>
              <w:pStyle w:val="Standard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</w:p>
          <w:p w14:paraId="5A4207CC" w14:textId="6B2EC39B" w:rsidR="001E3860" w:rsidRPr="00216CD9" w:rsidRDefault="009E794D" w:rsidP="00216CD9">
            <w:pPr>
              <w:contextualSpacing/>
              <w:jc w:val="both"/>
              <w:rPr>
                <w:color w:val="000000"/>
                <w:sz w:val="25"/>
                <w:szCs w:val="25"/>
              </w:rPr>
            </w:pPr>
            <w:r w:rsidRPr="00216CD9">
              <w:rPr>
                <w:rFonts w:eastAsia="Calibri"/>
                <w:sz w:val="25"/>
                <w:szCs w:val="25"/>
                <w:lang w:eastAsia="en-US"/>
              </w:rPr>
              <w:t xml:space="preserve">Карагандинская область, город Караганда, р-он имени </w:t>
            </w:r>
            <w:proofErr w:type="spellStart"/>
            <w:r w:rsidRPr="00216CD9">
              <w:rPr>
                <w:rFonts w:eastAsia="Calibri"/>
                <w:sz w:val="25"/>
                <w:szCs w:val="25"/>
                <w:lang w:eastAsia="en-US"/>
              </w:rPr>
              <w:t>Казыбек</w:t>
            </w:r>
            <w:proofErr w:type="spellEnd"/>
            <w:r w:rsidRPr="00216CD9">
              <w:rPr>
                <w:rFonts w:eastAsia="Calibri"/>
                <w:sz w:val="25"/>
                <w:szCs w:val="25"/>
                <w:lang w:eastAsia="en-US"/>
              </w:rPr>
              <w:t xml:space="preserve"> Би, </w:t>
            </w:r>
            <w:r w:rsidRPr="00216CD9">
              <w:rPr>
                <w:rFonts w:eastAsia="Calibri"/>
                <w:sz w:val="25"/>
                <w:szCs w:val="25"/>
                <w:lang w:val="kk-KZ" w:eastAsia="en-US"/>
              </w:rPr>
              <w:t xml:space="preserve">ул. Ерубаева </w:t>
            </w:r>
            <w:r w:rsidRPr="00216CD9">
              <w:rPr>
                <w:rFonts w:eastAsia="Calibri"/>
                <w:sz w:val="25"/>
                <w:szCs w:val="25"/>
                <w:lang w:eastAsia="en-US"/>
              </w:rPr>
              <w:t xml:space="preserve">54, </w:t>
            </w:r>
            <w:proofErr w:type="spellStart"/>
            <w:r w:rsidRPr="00216CD9">
              <w:rPr>
                <w:rFonts w:eastAsia="Calibri"/>
                <w:sz w:val="25"/>
                <w:szCs w:val="25"/>
                <w:lang w:eastAsia="en-US"/>
              </w:rPr>
              <w:t>н.п</w:t>
            </w:r>
            <w:proofErr w:type="spellEnd"/>
            <w:r w:rsidRPr="00216CD9">
              <w:rPr>
                <w:rFonts w:eastAsia="Calibri"/>
                <w:sz w:val="25"/>
                <w:szCs w:val="25"/>
                <w:lang w:eastAsia="en-US"/>
              </w:rPr>
              <w:t>. 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C102D" w14:textId="6E71970C" w:rsidR="001E3860" w:rsidRPr="00216CD9" w:rsidRDefault="00A531D3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17.01.2022</w:t>
            </w:r>
            <w:r w:rsidR="00A853A5" w:rsidRPr="00216CD9">
              <w:rPr>
                <w:sz w:val="25"/>
                <w:szCs w:val="25"/>
              </w:rPr>
              <w:t xml:space="preserve"> года, </w:t>
            </w:r>
            <w:r w:rsidRPr="00216CD9">
              <w:rPr>
                <w:sz w:val="25"/>
                <w:szCs w:val="25"/>
              </w:rPr>
              <w:t>9:10</w:t>
            </w:r>
            <w:r w:rsidR="001E3860" w:rsidRPr="00216CD9">
              <w:rPr>
                <w:sz w:val="25"/>
                <w:szCs w:val="25"/>
              </w:rPr>
              <w:t xml:space="preserve"> часов</w:t>
            </w:r>
          </w:p>
        </w:tc>
      </w:tr>
    </w:tbl>
    <w:p w14:paraId="4300B0B5" w14:textId="77777777" w:rsidR="004B6E21" w:rsidRPr="00216CD9" w:rsidRDefault="004B6E21" w:rsidP="00216CD9">
      <w:pPr>
        <w:pStyle w:val="a6"/>
        <w:numPr>
          <w:ilvl w:val="0"/>
          <w:numId w:val="3"/>
        </w:numPr>
        <w:spacing w:after="0" w:line="240" w:lineRule="auto"/>
        <w:ind w:left="0" w:firstLine="502"/>
        <w:contextualSpacing/>
        <w:jc w:val="both"/>
        <w:rPr>
          <w:sz w:val="25"/>
          <w:szCs w:val="25"/>
        </w:rPr>
      </w:pPr>
      <w:r w:rsidRPr="00216CD9">
        <w:rPr>
          <w:sz w:val="25"/>
          <w:szCs w:val="25"/>
        </w:rPr>
        <w:t xml:space="preserve">Сведения о </w:t>
      </w:r>
      <w:r w:rsidRPr="00216CD9">
        <w:rPr>
          <w:bCs/>
          <w:sz w:val="25"/>
          <w:szCs w:val="25"/>
        </w:rPr>
        <w:t>представлении дополнений к заявкам по замечаниям тендерной комиссии</w:t>
      </w:r>
      <w:r w:rsidRPr="00216CD9">
        <w:rPr>
          <w:sz w:val="25"/>
          <w:szCs w:val="25"/>
        </w:rPr>
        <w:t xml:space="preserve"> (лоте) (</w:t>
      </w:r>
      <w:r w:rsidRPr="00216CD9">
        <w:rPr>
          <w:i/>
          <w:iCs/>
          <w:sz w:val="25"/>
          <w:szCs w:val="25"/>
        </w:rPr>
        <w:t>по хронологии</w:t>
      </w:r>
      <w:r w:rsidRPr="00216CD9">
        <w:rPr>
          <w:sz w:val="25"/>
          <w:szCs w:val="25"/>
        </w:rPr>
        <w:t xml:space="preserve">): 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8"/>
        <w:gridCol w:w="2280"/>
        <w:gridCol w:w="1800"/>
        <w:gridCol w:w="2203"/>
        <w:gridCol w:w="2994"/>
      </w:tblGrid>
      <w:tr w:rsidR="004B6E21" w:rsidRPr="00216CD9" w14:paraId="10DE4B38" w14:textId="77777777" w:rsidTr="00582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E600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 п/п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4419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5278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БИН (ИИН)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81D6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Адрес местонахождения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DCA15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bCs/>
                <w:sz w:val="25"/>
                <w:szCs w:val="25"/>
              </w:rPr>
              <w:t>Дата и время</w:t>
            </w:r>
            <w:r w:rsidRPr="00216CD9">
              <w:rPr>
                <w:bCs/>
                <w:sz w:val="25"/>
                <w:szCs w:val="25"/>
              </w:rPr>
              <w:br/>
              <w:t>представления</w:t>
            </w:r>
            <w:r w:rsidRPr="00216CD9">
              <w:rPr>
                <w:bCs/>
                <w:sz w:val="25"/>
                <w:szCs w:val="25"/>
              </w:rPr>
              <w:br/>
              <w:t xml:space="preserve">дополнений к заявкам по </w:t>
            </w:r>
            <w:r w:rsidRPr="00216CD9">
              <w:rPr>
                <w:bCs/>
                <w:sz w:val="25"/>
                <w:szCs w:val="25"/>
              </w:rPr>
              <w:lastRenderedPageBreak/>
              <w:t>замечаниям тендерной комиссии</w:t>
            </w:r>
          </w:p>
        </w:tc>
      </w:tr>
      <w:tr w:rsidR="004B6E21" w:rsidRPr="00216CD9" w14:paraId="79011F16" w14:textId="77777777" w:rsidTr="00582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50AD" w14:textId="6FF5E116" w:rsidR="004B6E21" w:rsidRPr="00216CD9" w:rsidRDefault="00C7131F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2123" w14:textId="77777777" w:rsidR="00C7131F" w:rsidRPr="00216CD9" w:rsidRDefault="00C7131F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  <w:lang w:val="en-US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ТОО 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«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Профессионал-Секьюрити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»</w:t>
            </w:r>
          </w:p>
          <w:p w14:paraId="2DDC3C3A" w14:textId="58A1133B" w:rsidR="001E3860" w:rsidRPr="00216CD9" w:rsidRDefault="00C7131F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 </w:t>
            </w:r>
          </w:p>
          <w:p w14:paraId="633BD290" w14:textId="0CAEED8F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D6BA" w14:textId="4CFF5C23" w:rsidR="004B6E21" w:rsidRPr="00216CD9" w:rsidRDefault="009E794D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eastAsia="Calibri"/>
                <w:sz w:val="25"/>
                <w:szCs w:val="25"/>
                <w:lang w:eastAsia="en-US"/>
              </w:rPr>
              <w:t>070140011605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4D13" w14:textId="7C12FDBB" w:rsidR="004B6E21" w:rsidRPr="00216CD9" w:rsidRDefault="009E794D" w:rsidP="00216CD9">
            <w:pPr>
              <w:pStyle w:val="Standard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 xml:space="preserve">Карагандинская область, город Караганда, р-он имени </w:t>
            </w:r>
            <w:proofErr w:type="spellStart"/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>Казыбек</w:t>
            </w:r>
            <w:proofErr w:type="spellEnd"/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 xml:space="preserve"> Би, </w:t>
            </w:r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kk-KZ"/>
              </w:rPr>
              <w:t xml:space="preserve">ул. Ерубаева </w:t>
            </w:r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 xml:space="preserve">54, </w:t>
            </w:r>
            <w:proofErr w:type="spellStart"/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>н.п</w:t>
            </w:r>
            <w:proofErr w:type="spellEnd"/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>. 3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F3D9" w14:textId="77777777" w:rsidR="004B6E21" w:rsidRPr="00216CD9" w:rsidRDefault="00C7131F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26.01.2022 г.</w:t>
            </w:r>
          </w:p>
          <w:p w14:paraId="03BCB1E4" w14:textId="15E124EC" w:rsidR="004937CC" w:rsidRPr="00216CD9" w:rsidRDefault="004937CC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9 ч. 30 мин.</w:t>
            </w:r>
          </w:p>
        </w:tc>
      </w:tr>
    </w:tbl>
    <w:p w14:paraId="3B129617" w14:textId="77777777" w:rsidR="004B6E21" w:rsidRPr="00216CD9" w:rsidRDefault="004B6E21" w:rsidP="00216CD9">
      <w:pPr>
        <w:pStyle w:val="a6"/>
        <w:numPr>
          <w:ilvl w:val="0"/>
          <w:numId w:val="3"/>
        </w:numPr>
        <w:spacing w:after="0" w:line="240" w:lineRule="auto"/>
        <w:ind w:left="-142" w:firstLine="502"/>
        <w:contextualSpacing/>
        <w:jc w:val="both"/>
        <w:rPr>
          <w:sz w:val="25"/>
          <w:szCs w:val="25"/>
        </w:rPr>
      </w:pPr>
      <w:r w:rsidRPr="00216CD9">
        <w:rPr>
          <w:sz w:val="25"/>
          <w:szCs w:val="25"/>
        </w:rPr>
        <w:t>Дополнения к тендерным заявкам по замечаниям тендерной комиссии вскрыты, и они содержат: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417"/>
        <w:gridCol w:w="688"/>
        <w:gridCol w:w="1163"/>
        <w:gridCol w:w="988"/>
        <w:gridCol w:w="146"/>
        <w:gridCol w:w="1701"/>
      </w:tblGrid>
      <w:tr w:rsidR="004B6E21" w:rsidRPr="00216CD9" w14:paraId="5CBDD2F1" w14:textId="77777777" w:rsidTr="00582CD5">
        <w:tc>
          <w:tcPr>
            <w:tcW w:w="9923" w:type="dxa"/>
            <w:gridSpan w:val="9"/>
            <w:shd w:val="clear" w:color="auto" w:fill="auto"/>
          </w:tcPr>
          <w:p w14:paraId="125E1F57" w14:textId="3FE4FA16" w:rsidR="00D901A8" w:rsidRPr="00216CD9" w:rsidRDefault="004B6E21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hAnsi="Times New Roman" w:cs="Times New Roman"/>
                <w:sz w:val="25"/>
                <w:szCs w:val="25"/>
              </w:rPr>
              <w:t>Наименование потенциального поставщика</w:t>
            </w:r>
            <w:r w:rsidRPr="00216CD9">
              <w:rPr>
                <w:sz w:val="25"/>
                <w:szCs w:val="25"/>
              </w:rPr>
              <w:t>:</w:t>
            </w:r>
            <w:r w:rsidR="00D901A8"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 </w:t>
            </w:r>
            <w:r w:rsidR="00D901A8"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ТОО </w:t>
            </w:r>
            <w:r w:rsidR="00D901A8" w:rsidRPr="00216C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«Профессионал-Секьюрити»</w:t>
            </w:r>
          </w:p>
          <w:p w14:paraId="5314B703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4B6E21" w:rsidRPr="00216CD9" w14:paraId="353451A0" w14:textId="77777777" w:rsidTr="00582CD5">
        <w:tc>
          <w:tcPr>
            <w:tcW w:w="3261" w:type="dxa"/>
            <w:vMerge w:val="restart"/>
            <w:shd w:val="clear" w:color="auto" w:fill="auto"/>
            <w:vAlign w:val="center"/>
          </w:tcPr>
          <w:p w14:paraId="7952541E" w14:textId="4E5B01A5" w:rsidR="004B6E21" w:rsidRPr="00216CD9" w:rsidRDefault="00D901A8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 </w:t>
            </w:r>
            <w:r w:rsidR="004B6E21" w:rsidRPr="00216CD9">
              <w:rPr>
                <w:sz w:val="25"/>
                <w:szCs w:val="25"/>
              </w:rPr>
              <w:t>1. Общие данные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6720AAB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 лота (</w:t>
            </w:r>
            <w:proofErr w:type="spellStart"/>
            <w:r w:rsidRPr="00216CD9">
              <w:rPr>
                <w:sz w:val="25"/>
                <w:szCs w:val="25"/>
              </w:rPr>
              <w:t>ов</w:t>
            </w:r>
            <w:proofErr w:type="spellEnd"/>
            <w:r w:rsidRPr="00216CD9">
              <w:rPr>
                <w:sz w:val="25"/>
                <w:szCs w:val="25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10210E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прошита</w:t>
            </w:r>
          </w:p>
        </w:tc>
        <w:tc>
          <w:tcPr>
            <w:tcW w:w="1105" w:type="dxa"/>
            <w:gridSpan w:val="2"/>
            <w:vMerge w:val="restart"/>
            <w:shd w:val="clear" w:color="auto" w:fill="auto"/>
            <w:vAlign w:val="center"/>
          </w:tcPr>
          <w:p w14:paraId="45D0F53F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proofErr w:type="gramStart"/>
            <w:r w:rsidRPr="00216CD9">
              <w:rPr>
                <w:sz w:val="25"/>
                <w:szCs w:val="25"/>
              </w:rPr>
              <w:t>пронуме-рована</w:t>
            </w:r>
            <w:proofErr w:type="spellEnd"/>
            <w:proofErr w:type="gramEnd"/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14:paraId="7C5D3F96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последняя страница заверена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05D4532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количество (листов/ страниц)</w:t>
            </w:r>
          </w:p>
        </w:tc>
      </w:tr>
      <w:tr w:rsidR="004B6E21" w:rsidRPr="00216CD9" w14:paraId="0BBD7501" w14:textId="77777777" w:rsidTr="00582CD5">
        <w:tc>
          <w:tcPr>
            <w:tcW w:w="3261" w:type="dxa"/>
            <w:vMerge/>
            <w:shd w:val="clear" w:color="auto" w:fill="auto"/>
            <w:vAlign w:val="center"/>
          </w:tcPr>
          <w:p w14:paraId="332C4563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46EADC6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0D515B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4AF6F463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F0A5C1E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gramStart"/>
            <w:r w:rsidRPr="00216CD9">
              <w:rPr>
                <w:sz w:val="25"/>
                <w:szCs w:val="25"/>
              </w:rPr>
              <w:t>под-</w:t>
            </w:r>
            <w:proofErr w:type="spellStart"/>
            <w:r w:rsidRPr="00216CD9">
              <w:rPr>
                <w:sz w:val="25"/>
                <w:szCs w:val="25"/>
              </w:rPr>
              <w:t>писью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7CE927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печатью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209598F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4B6E21" w:rsidRPr="00216CD9" w14:paraId="4CEAAEA1" w14:textId="77777777" w:rsidTr="00270D52">
        <w:tc>
          <w:tcPr>
            <w:tcW w:w="3261" w:type="dxa"/>
            <w:shd w:val="clear" w:color="auto" w:fill="auto"/>
          </w:tcPr>
          <w:p w14:paraId="7E3E67B9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Дополнения </w:t>
            </w:r>
            <w:r w:rsidRPr="00216CD9">
              <w:rPr>
                <w:bCs/>
                <w:sz w:val="25"/>
                <w:szCs w:val="25"/>
              </w:rPr>
              <w:t>к тендерным заявкам по замечаниям тендерной комиссии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1E2589" w14:textId="72B2E75C" w:rsidR="004B6E21" w:rsidRPr="00216CD9" w:rsidRDefault="009E794D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92C008" w14:textId="5BEF913D" w:rsidR="004B6E21" w:rsidRPr="00216CD9" w:rsidRDefault="009E794D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EDD9C6B" w14:textId="27833BCD" w:rsidR="004B6E21" w:rsidRPr="00216CD9" w:rsidRDefault="009E794D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6C6807A" w14:textId="2D18EC2B" w:rsidR="004B6E21" w:rsidRPr="00216CD9" w:rsidRDefault="009E794D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3B865D" w14:textId="52EFFE66" w:rsidR="004B6E21" w:rsidRPr="00216CD9" w:rsidRDefault="009E794D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E608B" w14:textId="5BE69BB2" w:rsidR="004B6E21" w:rsidRPr="00216CD9" w:rsidRDefault="009E794D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24</w:t>
            </w:r>
          </w:p>
        </w:tc>
      </w:tr>
      <w:tr w:rsidR="004B6E21" w:rsidRPr="00216CD9" w14:paraId="6DCFD303" w14:textId="77777777" w:rsidTr="00582CD5">
        <w:tc>
          <w:tcPr>
            <w:tcW w:w="9923" w:type="dxa"/>
            <w:gridSpan w:val="9"/>
            <w:shd w:val="clear" w:color="auto" w:fill="auto"/>
          </w:tcPr>
          <w:p w14:paraId="623A3353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2. Содержание:</w:t>
            </w:r>
          </w:p>
        </w:tc>
      </w:tr>
      <w:tr w:rsidR="004B6E21" w:rsidRPr="00216CD9" w14:paraId="3EDBD3E9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58DF0E74" w14:textId="77777777" w:rsidR="004B6E21" w:rsidRPr="00216CD9" w:rsidRDefault="004B6E21" w:rsidP="00216CD9">
            <w:pPr>
              <w:ind w:firstLine="601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Наименование документа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03A556E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оригинал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58EC15E8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нотариально -засвидетельствованная копия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41140EB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копия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54F46537" w14:textId="77777777" w:rsidR="004B6E21" w:rsidRPr="00216CD9" w:rsidRDefault="004B6E21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электронный документ</w:t>
            </w:r>
          </w:p>
        </w:tc>
      </w:tr>
      <w:tr w:rsidR="00270D52" w:rsidRPr="00216CD9" w14:paraId="378D5B9D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125D5ED3" w14:textId="4FB9B647" w:rsidR="00270D52" w:rsidRPr="00216CD9" w:rsidRDefault="00A7737A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Информационное письмо исх. № 20 от 25.01.2022 года от ТОО «Профессионал-Секьюрити»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30B7B94" w14:textId="1EEC2AC7" w:rsidR="00270D52" w:rsidRPr="00216CD9" w:rsidRDefault="00A7737A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0A9095B7" w14:textId="6531E178" w:rsidR="00270D52" w:rsidRPr="00216CD9" w:rsidRDefault="00A7737A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7CC42C1" w14:textId="108D521D" w:rsidR="00270D52" w:rsidRPr="00216CD9" w:rsidRDefault="00270D5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2229C593" w14:textId="1893DC9B" w:rsidR="00270D52" w:rsidRPr="00216CD9" w:rsidRDefault="00270D5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155DE769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1622BC69" w14:textId="5F8926EB" w:rsidR="008D2D42" w:rsidRPr="00216CD9" w:rsidRDefault="00A7737A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  <w:lang w:val="kk-KZ"/>
              </w:rPr>
              <w:t>Шевченко Н</w:t>
            </w:r>
            <w:r w:rsidRPr="00216CD9">
              <w:rPr>
                <w:sz w:val="25"/>
                <w:szCs w:val="25"/>
              </w:rPr>
              <w:t>.Н.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DA2D120" w14:textId="15AB6D1B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7A3D8F50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6AFF656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478A07E6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7F154E95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2E72F4D1" w14:textId="67E68ED3" w:rsidR="008D2D42" w:rsidRPr="00216CD9" w:rsidRDefault="00A7737A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Тишибаев</w:t>
            </w:r>
            <w:proofErr w:type="spellEnd"/>
            <w:r w:rsidRPr="00216CD9">
              <w:rPr>
                <w:sz w:val="25"/>
                <w:szCs w:val="25"/>
              </w:rPr>
              <w:t xml:space="preserve"> С.Д.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B26B864" w14:textId="4F92A6C5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677C8C39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01C53E1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49CAAB2A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18B1EA20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7C93ACD9" w14:textId="62A3209B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Тимченко А.В.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85B0BF9" w14:textId="41FAA2B9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67E73522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BEE45D9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EFA7045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610B9A0D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77657D24" w14:textId="79C5E775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Раймбеков</w:t>
            </w:r>
            <w:proofErr w:type="spellEnd"/>
            <w:r w:rsidRPr="00216CD9">
              <w:rPr>
                <w:sz w:val="25"/>
                <w:szCs w:val="25"/>
              </w:rPr>
              <w:t xml:space="preserve"> А.А.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B7EB914" w14:textId="2617D3EA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178EF66E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2909C58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0CAD99F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0E70D9A2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1521D724" w14:textId="337D2FB2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Атенов</w:t>
            </w:r>
            <w:proofErr w:type="spellEnd"/>
            <w:r w:rsidRPr="00216CD9">
              <w:rPr>
                <w:sz w:val="25"/>
                <w:szCs w:val="25"/>
              </w:rPr>
              <w:t xml:space="preserve"> Е.А.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E474191" w14:textId="7B298A6D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1EAB2814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72D36EC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0CA0C34B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4E993E3A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1A59D6F9" w14:textId="0203369F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Кобеев</w:t>
            </w:r>
            <w:proofErr w:type="spellEnd"/>
            <w:r w:rsidRPr="00216CD9">
              <w:rPr>
                <w:sz w:val="25"/>
                <w:szCs w:val="25"/>
              </w:rPr>
              <w:t xml:space="preserve"> М.О.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398CE00" w14:textId="03B07050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18238AAD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68BDCED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5EA72DE9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0BE1DCD4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0ED9B7DD" w14:textId="6C26A513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Валювач</w:t>
            </w:r>
            <w:proofErr w:type="spellEnd"/>
            <w:r w:rsidRPr="00216CD9">
              <w:rPr>
                <w:sz w:val="25"/>
                <w:szCs w:val="25"/>
              </w:rPr>
              <w:t xml:space="preserve"> Г.Н.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16F50CE" w14:textId="44A5D038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367BDF87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93B1F13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7C23FE5B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6F29E90E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72E1568D" w14:textId="66FCD978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Кошанов</w:t>
            </w:r>
            <w:proofErr w:type="spellEnd"/>
            <w:r w:rsidRPr="00216CD9">
              <w:rPr>
                <w:sz w:val="25"/>
                <w:szCs w:val="25"/>
              </w:rPr>
              <w:t xml:space="preserve"> С.Т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9C25F80" w14:textId="2831C75E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40D68A24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17E5C5A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7A990EE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1DFA3B3D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35DEA749" w14:textId="5C27455F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Сагандыков</w:t>
            </w:r>
            <w:proofErr w:type="spellEnd"/>
            <w:r w:rsidRPr="00216CD9">
              <w:rPr>
                <w:sz w:val="25"/>
                <w:szCs w:val="25"/>
              </w:rPr>
              <w:t xml:space="preserve"> Ж.К.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9C47642" w14:textId="00D77812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40F99A8B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2AA94CC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251B28D5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52A5EDA5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23BF4E0E" w14:textId="5454F71B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Омирбаев</w:t>
            </w:r>
            <w:proofErr w:type="spellEnd"/>
            <w:r w:rsidRPr="00216CD9">
              <w:rPr>
                <w:sz w:val="25"/>
                <w:szCs w:val="25"/>
              </w:rPr>
              <w:t xml:space="preserve"> Е.С.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7D224014" w14:textId="6525FD7D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26014D08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AF4F8DC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42FBD84E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60F92451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429AAD74" w14:textId="11F992B8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  <w:lang w:val="en-US"/>
              </w:rPr>
            </w:pPr>
            <w:r w:rsidRPr="00216CD9">
              <w:rPr>
                <w:sz w:val="25"/>
                <w:szCs w:val="25"/>
              </w:rPr>
              <w:t>Мустафин Ж.</w:t>
            </w:r>
            <w:r w:rsidRPr="00216CD9">
              <w:rPr>
                <w:sz w:val="25"/>
                <w:szCs w:val="25"/>
                <w:lang w:val="kk-KZ"/>
              </w:rPr>
              <w:t>Қ</w:t>
            </w:r>
            <w:r w:rsidRPr="00216CD9">
              <w:rPr>
                <w:sz w:val="25"/>
                <w:szCs w:val="25"/>
                <w:lang w:val="en-US"/>
              </w:rPr>
              <w:t>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2FD252A" w14:textId="7D7A9207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048796ED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0B5AD54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34C7684D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06B91FFD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50F3292B" w14:textId="601293EB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Слям</w:t>
            </w:r>
            <w:proofErr w:type="spellEnd"/>
            <w:r w:rsidRPr="00216CD9">
              <w:rPr>
                <w:sz w:val="25"/>
                <w:szCs w:val="25"/>
              </w:rPr>
              <w:t xml:space="preserve"> Е.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1B7F261F" w14:textId="6241183E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77E64262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78DA29C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FA421FF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390C6520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070CD334" w14:textId="1E4F5A05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Макиенко А.Н.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120F1E67" w14:textId="7EE1936C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690E04D8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9DCD1D8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076B4395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729C33A9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49804290" w14:textId="190F9CF2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  <w:lang w:val="en-US"/>
              </w:rPr>
            </w:pPr>
            <w:proofErr w:type="spellStart"/>
            <w:r w:rsidRPr="00216CD9">
              <w:rPr>
                <w:sz w:val="25"/>
                <w:szCs w:val="25"/>
              </w:rPr>
              <w:t>Кенжетай</w:t>
            </w:r>
            <w:proofErr w:type="spellEnd"/>
            <w:r w:rsidRPr="00216CD9">
              <w:rPr>
                <w:sz w:val="25"/>
                <w:szCs w:val="25"/>
              </w:rPr>
              <w:t xml:space="preserve"> Е.</w:t>
            </w:r>
            <w:r w:rsidRPr="00216CD9">
              <w:rPr>
                <w:sz w:val="25"/>
                <w:szCs w:val="25"/>
                <w:lang w:val="kk-KZ"/>
              </w:rPr>
              <w:t>Қ</w:t>
            </w:r>
            <w:r w:rsidRPr="00216CD9">
              <w:rPr>
                <w:sz w:val="25"/>
                <w:szCs w:val="25"/>
                <w:lang w:val="en-US"/>
              </w:rPr>
              <w:t>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8865D36" w14:textId="1888170B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35B2C4B9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631BA76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5CCAFEC2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20CC9524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6D76DCC4" w14:textId="2C1F02C6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Аканеев</w:t>
            </w:r>
            <w:proofErr w:type="spellEnd"/>
            <w:r w:rsidRPr="00216CD9">
              <w:rPr>
                <w:sz w:val="25"/>
                <w:szCs w:val="25"/>
              </w:rPr>
              <w:t xml:space="preserve"> С.В.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4004D82" w14:textId="46D0E64A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1AAA22E9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C09FE58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766F2432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538F7937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63824D09" w14:textId="0C7E5E61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Б</w:t>
            </w:r>
            <w:r w:rsidRPr="00216CD9">
              <w:rPr>
                <w:sz w:val="25"/>
                <w:szCs w:val="25"/>
                <w:lang w:val="kk-KZ"/>
              </w:rPr>
              <w:t>ө</w:t>
            </w:r>
            <w:proofErr w:type="spellStart"/>
            <w:r w:rsidRPr="00216CD9">
              <w:rPr>
                <w:sz w:val="25"/>
                <w:szCs w:val="25"/>
              </w:rPr>
              <w:t>ргек</w:t>
            </w:r>
            <w:proofErr w:type="spellEnd"/>
            <w:r w:rsidRPr="00216CD9">
              <w:rPr>
                <w:sz w:val="25"/>
                <w:szCs w:val="25"/>
              </w:rPr>
              <w:t xml:space="preserve"> О.А.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18D22CA3" w14:textId="571F8C82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52071EF0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63AC017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46E82991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4CD22585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422A0F24" w14:textId="2BC73D1A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Кожахметов</w:t>
            </w:r>
            <w:proofErr w:type="spellEnd"/>
            <w:r w:rsidRPr="00216CD9">
              <w:rPr>
                <w:sz w:val="25"/>
                <w:szCs w:val="25"/>
              </w:rPr>
              <w:t xml:space="preserve"> А.Т.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6293C1F3" w14:textId="221FE299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59847A5E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A5741FD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108B5896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628DBC89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34F62D8B" w14:textId="670A9C7D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Пенгрин</w:t>
            </w:r>
            <w:proofErr w:type="spellEnd"/>
            <w:r w:rsidRPr="00216CD9">
              <w:rPr>
                <w:sz w:val="25"/>
                <w:szCs w:val="25"/>
              </w:rPr>
              <w:t xml:space="preserve"> Ю.В.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633DF93F" w14:textId="013024F0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5B8FD83A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86709F4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3F5AA28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00B1E22A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7286C535" w14:textId="4726D990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Матаев</w:t>
            </w:r>
            <w:proofErr w:type="spellEnd"/>
            <w:r w:rsidRPr="00216CD9">
              <w:rPr>
                <w:sz w:val="25"/>
                <w:szCs w:val="25"/>
              </w:rPr>
              <w:t xml:space="preserve"> Е.Ж.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748829B" w14:textId="5A7FD023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73C753FD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0EE0F64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07D13A2F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8D2D42" w:rsidRPr="00216CD9" w14:paraId="608C4956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433E0481" w14:textId="0F750BA5" w:rsidR="008D2D42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sz w:val="25"/>
                <w:szCs w:val="25"/>
              </w:rPr>
              <w:t>Курдеубаев</w:t>
            </w:r>
            <w:proofErr w:type="spellEnd"/>
            <w:r w:rsidRPr="00216CD9">
              <w:rPr>
                <w:sz w:val="25"/>
                <w:szCs w:val="25"/>
              </w:rPr>
              <w:t xml:space="preserve"> М.Д.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D3F98E3" w14:textId="7460C1EA" w:rsidR="008D2D42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4BD92178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3E5CCBD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01EC47D4" w14:textId="77777777" w:rsidR="008D2D42" w:rsidRPr="00216CD9" w:rsidRDefault="008D2D42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2E5683" w:rsidRPr="00216CD9" w14:paraId="7128D55F" w14:textId="77777777" w:rsidTr="00582CD5">
        <w:tc>
          <w:tcPr>
            <w:tcW w:w="3969" w:type="dxa"/>
            <w:gridSpan w:val="2"/>
            <w:shd w:val="clear" w:color="auto" w:fill="auto"/>
            <w:vAlign w:val="center"/>
          </w:tcPr>
          <w:p w14:paraId="7B263CAB" w14:textId="47B75030" w:rsidR="002E5683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М</w:t>
            </w:r>
            <w:r w:rsidR="00D901A8" w:rsidRPr="00216CD9">
              <w:rPr>
                <w:sz w:val="25"/>
                <w:szCs w:val="25"/>
                <w:lang w:val="kk-KZ"/>
              </w:rPr>
              <w:t>ұ</w:t>
            </w:r>
            <w:proofErr w:type="spellStart"/>
            <w:r w:rsidR="00D901A8" w:rsidRPr="00216CD9">
              <w:rPr>
                <w:sz w:val="25"/>
                <w:szCs w:val="25"/>
              </w:rPr>
              <w:t>рат</w:t>
            </w:r>
            <w:proofErr w:type="spellEnd"/>
            <w:r w:rsidR="00D901A8" w:rsidRPr="00216CD9">
              <w:rPr>
                <w:sz w:val="25"/>
                <w:szCs w:val="25"/>
              </w:rPr>
              <w:t xml:space="preserve"> А.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4F26FED" w14:textId="79D2400F" w:rsidR="002E5683" w:rsidRPr="00216CD9" w:rsidRDefault="00D901A8" w:rsidP="006B5FB5">
            <w:pPr>
              <w:tabs>
                <w:tab w:val="left" w:pos="993"/>
              </w:tabs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  <w:lang w:val="en-US" w:eastAsia="en-US"/>
              </w:rPr>
              <w:t>●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63BC77B1" w14:textId="77777777" w:rsidR="002E5683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0489BAA" w14:textId="77777777" w:rsidR="002E5683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0C88A4D9" w14:textId="77777777" w:rsidR="002E5683" w:rsidRPr="00216CD9" w:rsidRDefault="002E5683" w:rsidP="00216CD9">
            <w:pPr>
              <w:tabs>
                <w:tab w:val="left" w:pos="993"/>
              </w:tabs>
              <w:contextualSpacing/>
              <w:jc w:val="both"/>
              <w:rPr>
                <w:sz w:val="25"/>
                <w:szCs w:val="25"/>
              </w:rPr>
            </w:pPr>
          </w:p>
        </w:tc>
      </w:tr>
    </w:tbl>
    <w:p w14:paraId="45006D40" w14:textId="77777777" w:rsidR="004B6E21" w:rsidRPr="00216CD9" w:rsidRDefault="004B6E21" w:rsidP="00216CD9">
      <w:pPr>
        <w:ind w:firstLine="142"/>
        <w:contextualSpacing/>
        <w:jc w:val="both"/>
        <w:rPr>
          <w:sz w:val="25"/>
          <w:szCs w:val="25"/>
        </w:rPr>
      </w:pPr>
      <w:r w:rsidRPr="00216CD9">
        <w:rPr>
          <w:sz w:val="25"/>
          <w:szCs w:val="25"/>
        </w:rPr>
        <w:t>которые оглашены всем присутствующим, при вскрытии.</w:t>
      </w:r>
    </w:p>
    <w:p w14:paraId="3C6C1A93" w14:textId="77777777" w:rsidR="004B6E21" w:rsidRPr="00216CD9" w:rsidRDefault="004B6E21" w:rsidP="00216CD9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sz w:val="25"/>
          <w:szCs w:val="25"/>
        </w:rPr>
      </w:pPr>
      <w:bookmarkStart w:id="0" w:name="_Hlk17365136"/>
      <w:r w:rsidRPr="00216CD9">
        <w:rPr>
          <w:sz w:val="25"/>
          <w:szCs w:val="25"/>
        </w:rPr>
        <w:lastRenderedPageBreak/>
        <w:t xml:space="preserve">Отклоненные заявки на участие в тендере (лоте): 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96"/>
        <w:gridCol w:w="770"/>
        <w:gridCol w:w="2684"/>
        <w:gridCol w:w="5765"/>
      </w:tblGrid>
      <w:tr w:rsidR="004B6E21" w:rsidRPr="00216CD9" w14:paraId="0F4DAFB8" w14:textId="77777777" w:rsidTr="00270D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44994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 п/п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73E1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 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52A9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E1A8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Причина отклонения</w:t>
            </w:r>
          </w:p>
        </w:tc>
      </w:tr>
      <w:tr w:rsidR="004B6E21" w:rsidRPr="00216CD9" w14:paraId="1E45648D" w14:textId="77777777" w:rsidTr="00B53F31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AD679" w14:textId="4F47B5F2" w:rsidR="004B6E21" w:rsidRPr="00216CD9" w:rsidRDefault="006F1898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2B560" w14:textId="5C8FAC3E" w:rsidR="004B6E21" w:rsidRPr="00216CD9" w:rsidRDefault="006F1898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D1D9E" w14:textId="77777777" w:rsidR="004937CC" w:rsidRPr="00216CD9" w:rsidRDefault="004937CC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  <w:lang w:val="en-US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ТОО 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«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Профессионал-Секьюрити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»</w:t>
            </w:r>
          </w:p>
          <w:p w14:paraId="51550069" w14:textId="795225A8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CC046" w14:textId="33F8C570" w:rsidR="00C0667B" w:rsidRPr="00216CD9" w:rsidRDefault="004221F7" w:rsidP="00216CD9">
            <w:pPr>
              <w:tabs>
                <w:tab w:val="left" w:pos="25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 </w:t>
            </w:r>
            <w:r w:rsidR="00C0667B" w:rsidRPr="00216CD9">
              <w:rPr>
                <w:sz w:val="25"/>
                <w:szCs w:val="25"/>
              </w:rPr>
              <w:t xml:space="preserve">Согласно п.п.1 п.12.12 Правил закупок товаров, работ и услуг, Тендерной комиссия отклоняет заявку потенциального поставщика в связи с признанием </w:t>
            </w:r>
            <w:proofErr w:type="gramStart"/>
            <w:r w:rsidR="00C0667B" w:rsidRPr="00216CD9">
              <w:rPr>
                <w:sz w:val="25"/>
                <w:szCs w:val="25"/>
              </w:rPr>
              <w:t>тендерно</w:t>
            </w:r>
            <w:r w:rsidR="00271A6F" w:rsidRPr="00216CD9">
              <w:rPr>
                <w:sz w:val="25"/>
                <w:szCs w:val="25"/>
              </w:rPr>
              <w:t>й</w:t>
            </w:r>
            <w:r w:rsidR="00C0667B" w:rsidRPr="00216CD9">
              <w:rPr>
                <w:sz w:val="25"/>
                <w:szCs w:val="25"/>
              </w:rPr>
              <w:t xml:space="preserve"> заявки</w:t>
            </w:r>
            <w:proofErr w:type="gramEnd"/>
            <w:r w:rsidR="00C0667B" w:rsidRPr="00216CD9">
              <w:rPr>
                <w:sz w:val="25"/>
                <w:szCs w:val="25"/>
              </w:rPr>
              <w:t xml:space="preserve"> не соответствующей требованиям тендерной документации. </w:t>
            </w:r>
          </w:p>
          <w:p w14:paraId="252D0632" w14:textId="4829194B" w:rsidR="004221F7" w:rsidRPr="00216CD9" w:rsidRDefault="004221F7" w:rsidP="00216CD9">
            <w:pPr>
              <w:tabs>
                <w:tab w:val="left" w:pos="253"/>
              </w:tabs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Согласно требованию технической спецификации:</w:t>
            </w:r>
          </w:p>
          <w:p w14:paraId="50CD7ABB" w14:textId="77777777" w:rsidR="004221F7" w:rsidRPr="00216CD9" w:rsidRDefault="004221F7" w:rsidP="00216CD9">
            <w:pPr>
              <w:pStyle w:val="a"/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i/>
                <w:sz w:val="25"/>
                <w:szCs w:val="25"/>
              </w:rPr>
            </w:pPr>
            <w:r w:rsidRPr="00216CD9">
              <w:rPr>
                <w:rFonts w:eastAsia="Calibri"/>
                <w:i/>
                <w:sz w:val="25"/>
                <w:szCs w:val="25"/>
                <w:lang w:eastAsia="en-US"/>
              </w:rPr>
              <w:t xml:space="preserve">Потенциальный поставщик должен </w:t>
            </w:r>
          </w:p>
          <w:p w14:paraId="0DFCA374" w14:textId="30175B14" w:rsidR="0004421D" w:rsidRPr="00216CD9" w:rsidRDefault="004221F7" w:rsidP="00216CD9">
            <w:pPr>
              <w:tabs>
                <w:tab w:val="left" w:pos="253"/>
              </w:tabs>
              <w:contextualSpacing/>
              <w:jc w:val="both"/>
              <w:rPr>
                <w:rFonts w:eastAsia="Calibri"/>
                <w:i/>
                <w:sz w:val="25"/>
                <w:szCs w:val="25"/>
                <w:lang w:eastAsia="en-US"/>
              </w:rPr>
            </w:pPr>
            <w:r w:rsidRPr="00216CD9">
              <w:rPr>
                <w:rFonts w:eastAsia="Calibri"/>
                <w:i/>
                <w:sz w:val="25"/>
                <w:szCs w:val="25"/>
                <w:lang w:eastAsia="en-US"/>
              </w:rPr>
              <w:t xml:space="preserve">иметь в штате не </w:t>
            </w:r>
            <w:r w:rsidRPr="00216CD9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менее 20 человека</w:t>
            </w:r>
            <w:r w:rsidRPr="00216CD9">
              <w:rPr>
                <w:rFonts w:eastAsia="Calibri"/>
                <w:i/>
                <w:sz w:val="25"/>
                <w:szCs w:val="25"/>
                <w:lang w:eastAsia="en-US"/>
              </w:rPr>
              <w:t xml:space="preserve">, из них 12 охранников на посты, 6 человек группа реагирования и 1 старшего охраны, 1 инспектор службы охраны (для подтверждения необходимо представить копию штатного расписания и </w:t>
            </w:r>
            <w:r w:rsidRPr="00216CD9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нотариально заверенную копию трудовых договоров</w:t>
            </w:r>
            <w:r w:rsidRPr="00216CD9">
              <w:rPr>
                <w:rFonts w:eastAsia="Calibri"/>
                <w:i/>
                <w:sz w:val="25"/>
                <w:szCs w:val="25"/>
                <w:lang w:eastAsia="en-US"/>
              </w:rPr>
              <w:t>).</w:t>
            </w:r>
          </w:p>
          <w:p w14:paraId="70F04F60" w14:textId="43333781" w:rsidR="0004421D" w:rsidRPr="00216CD9" w:rsidRDefault="0004421D" w:rsidP="00216CD9">
            <w:pPr>
              <w:tabs>
                <w:tab w:val="left" w:pos="253"/>
              </w:tabs>
              <w:contextualSpacing/>
              <w:jc w:val="both"/>
              <w:rPr>
                <w:rFonts w:eastAsia="Calibri"/>
                <w:sz w:val="25"/>
                <w:szCs w:val="25"/>
                <w:highlight w:val="green"/>
                <w:lang w:eastAsia="en-US"/>
              </w:rPr>
            </w:pPr>
            <w:r w:rsidRPr="00216CD9">
              <w:rPr>
                <w:rFonts w:eastAsia="Calibri"/>
                <w:sz w:val="25"/>
                <w:szCs w:val="25"/>
                <w:lang w:eastAsia="en-US"/>
              </w:rPr>
              <w:t xml:space="preserve">В заявке потенциального поставщика приложены документы на </w:t>
            </w:r>
            <w:r w:rsidRPr="00216CD9">
              <w:rPr>
                <w:rFonts w:eastAsia="Calibri"/>
                <w:b/>
                <w:sz w:val="25"/>
                <w:szCs w:val="25"/>
                <w:lang w:eastAsia="en-US"/>
              </w:rPr>
              <w:t>20 человек</w:t>
            </w:r>
            <w:r w:rsidRPr="00216CD9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Pr="00216CD9">
              <w:rPr>
                <w:rFonts w:eastAsia="Calibri"/>
                <w:b/>
                <w:sz w:val="25"/>
                <w:szCs w:val="25"/>
                <w:lang w:eastAsia="en-US"/>
              </w:rPr>
              <w:t>привлекаемого персонала:</w:t>
            </w:r>
            <w:r w:rsidR="0061672F" w:rsidRPr="00216CD9">
              <w:rPr>
                <w:sz w:val="25"/>
                <w:szCs w:val="25"/>
                <w:lang w:val="kk-KZ"/>
              </w:rPr>
              <w:t xml:space="preserve"> </w:t>
            </w:r>
            <w:r w:rsidR="0061672F" w:rsidRPr="00216CD9">
              <w:rPr>
                <w:sz w:val="25"/>
                <w:szCs w:val="25"/>
                <w:lang w:val="kk-KZ"/>
              </w:rPr>
              <w:t>Шевченко Н</w:t>
            </w:r>
            <w:r w:rsidR="0061672F" w:rsidRPr="00216CD9">
              <w:rPr>
                <w:sz w:val="25"/>
                <w:szCs w:val="25"/>
              </w:rPr>
              <w:t>.Н.</w:t>
            </w:r>
            <w:r w:rsidR="0061672F" w:rsidRPr="00216CD9">
              <w:rPr>
                <w:sz w:val="25"/>
                <w:szCs w:val="25"/>
              </w:rPr>
              <w:t xml:space="preserve">, </w:t>
            </w:r>
            <w:proofErr w:type="spellStart"/>
            <w:r w:rsidR="0061672F" w:rsidRPr="00216CD9">
              <w:rPr>
                <w:sz w:val="25"/>
                <w:szCs w:val="25"/>
              </w:rPr>
              <w:t>Тишибаев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С.Д.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r w:rsidR="0061672F" w:rsidRPr="00216CD9">
              <w:rPr>
                <w:sz w:val="25"/>
                <w:szCs w:val="25"/>
              </w:rPr>
              <w:t>Тимченко А.В.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Раймбеков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А.А.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Атенов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Е.А.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Кобеев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М.О.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Валювач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Г.Н.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Кошанов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С.Т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Сагандыков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Ж.К.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Омирбаев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Е.С.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r w:rsidR="0061672F" w:rsidRPr="00216CD9">
              <w:rPr>
                <w:sz w:val="25"/>
                <w:szCs w:val="25"/>
              </w:rPr>
              <w:t>Мустафин Ж.</w:t>
            </w:r>
            <w:r w:rsidR="0061672F" w:rsidRPr="00216CD9">
              <w:rPr>
                <w:sz w:val="25"/>
                <w:szCs w:val="25"/>
                <w:lang w:val="kk-KZ"/>
              </w:rPr>
              <w:t>Қ</w:t>
            </w:r>
            <w:r w:rsidR="0061672F" w:rsidRPr="00216CD9">
              <w:rPr>
                <w:sz w:val="25"/>
                <w:szCs w:val="25"/>
              </w:rPr>
              <w:t>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Слям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Е.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r w:rsidR="0061672F" w:rsidRPr="00216CD9">
              <w:rPr>
                <w:sz w:val="25"/>
                <w:szCs w:val="25"/>
              </w:rPr>
              <w:t>Макиенко А.Н.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Кенжетай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Е.</w:t>
            </w:r>
            <w:r w:rsidR="0061672F" w:rsidRPr="00216CD9">
              <w:rPr>
                <w:sz w:val="25"/>
                <w:szCs w:val="25"/>
                <w:lang w:val="kk-KZ"/>
              </w:rPr>
              <w:t>Қ</w:t>
            </w:r>
            <w:r w:rsidR="0061672F" w:rsidRPr="00216CD9">
              <w:rPr>
                <w:sz w:val="25"/>
                <w:szCs w:val="25"/>
              </w:rPr>
              <w:t>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r w:rsidR="0061672F" w:rsidRPr="00216CD9">
              <w:rPr>
                <w:sz w:val="25"/>
                <w:szCs w:val="25"/>
              </w:rPr>
              <w:t>Б</w:t>
            </w:r>
            <w:r w:rsidR="0061672F" w:rsidRPr="00216CD9">
              <w:rPr>
                <w:sz w:val="25"/>
                <w:szCs w:val="25"/>
                <w:lang w:val="kk-KZ"/>
              </w:rPr>
              <w:t>ө</w:t>
            </w:r>
            <w:proofErr w:type="spellStart"/>
            <w:r w:rsidR="0061672F" w:rsidRPr="00216CD9">
              <w:rPr>
                <w:sz w:val="25"/>
                <w:szCs w:val="25"/>
              </w:rPr>
              <w:t>ргек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О.А.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Кожахметов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А.Т.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Пенгрин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Ю.В.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Матаев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Е.Ж.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proofErr w:type="spellStart"/>
            <w:r w:rsidR="0061672F" w:rsidRPr="00216CD9">
              <w:rPr>
                <w:sz w:val="25"/>
                <w:szCs w:val="25"/>
              </w:rPr>
              <w:t>Курдеубаев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М.Д.</w:t>
            </w:r>
            <w:r w:rsidR="0061672F" w:rsidRPr="00216CD9">
              <w:rPr>
                <w:sz w:val="25"/>
                <w:szCs w:val="25"/>
              </w:rPr>
              <w:t xml:space="preserve"> </w:t>
            </w:r>
            <w:r w:rsidR="0061672F" w:rsidRPr="00216CD9">
              <w:rPr>
                <w:sz w:val="25"/>
                <w:szCs w:val="25"/>
              </w:rPr>
              <w:t>М</w:t>
            </w:r>
            <w:r w:rsidR="0061672F" w:rsidRPr="00216CD9">
              <w:rPr>
                <w:sz w:val="25"/>
                <w:szCs w:val="25"/>
                <w:lang w:val="kk-KZ"/>
              </w:rPr>
              <w:t>ұ</w:t>
            </w:r>
            <w:proofErr w:type="spellStart"/>
            <w:r w:rsidR="0061672F" w:rsidRPr="00216CD9">
              <w:rPr>
                <w:sz w:val="25"/>
                <w:szCs w:val="25"/>
              </w:rPr>
              <w:t>рат</w:t>
            </w:r>
            <w:proofErr w:type="spellEnd"/>
            <w:r w:rsidR="0061672F" w:rsidRPr="00216CD9">
              <w:rPr>
                <w:sz w:val="25"/>
                <w:szCs w:val="25"/>
              </w:rPr>
              <w:t xml:space="preserve"> А.</w:t>
            </w:r>
            <w:r w:rsidR="0061672F" w:rsidRPr="00216CD9">
              <w:rPr>
                <w:sz w:val="25"/>
                <w:szCs w:val="25"/>
              </w:rPr>
              <w:t xml:space="preserve">  </w:t>
            </w:r>
          </w:p>
          <w:p w14:paraId="3F0E5C0B" w14:textId="1E46E00E" w:rsidR="0004421D" w:rsidRPr="00216CD9" w:rsidRDefault="0004421D" w:rsidP="00216CD9">
            <w:pPr>
              <w:tabs>
                <w:tab w:val="left" w:pos="253"/>
              </w:tabs>
              <w:contextualSpacing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  <w:p w14:paraId="5CD5E6E5" w14:textId="15EE4596" w:rsidR="0004421D" w:rsidRPr="00216CD9" w:rsidRDefault="004221F7" w:rsidP="00216CD9">
            <w:pPr>
              <w:pStyle w:val="a"/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i/>
                <w:sz w:val="25"/>
                <w:szCs w:val="25"/>
              </w:rPr>
            </w:pPr>
            <w:r w:rsidRPr="00216CD9">
              <w:rPr>
                <w:b/>
                <w:i/>
                <w:sz w:val="25"/>
                <w:szCs w:val="25"/>
              </w:rPr>
              <w:t>Привлекаемый персонал</w:t>
            </w:r>
            <w:r w:rsidR="0004421D" w:rsidRPr="00216CD9">
              <w:rPr>
                <w:i/>
                <w:sz w:val="25"/>
                <w:szCs w:val="25"/>
              </w:rPr>
              <w:t xml:space="preserve"> не должен иметь</w:t>
            </w:r>
          </w:p>
          <w:p w14:paraId="5D7F967B" w14:textId="1507CE2A" w:rsidR="004221F7" w:rsidRPr="00216CD9" w:rsidRDefault="004221F7" w:rsidP="00216CD9">
            <w:pPr>
              <w:tabs>
                <w:tab w:val="left" w:pos="253"/>
              </w:tabs>
              <w:contextualSpacing/>
              <w:jc w:val="both"/>
              <w:rPr>
                <w:i/>
                <w:sz w:val="25"/>
                <w:szCs w:val="25"/>
              </w:rPr>
            </w:pPr>
            <w:r w:rsidRPr="00216CD9">
              <w:rPr>
                <w:i/>
                <w:sz w:val="25"/>
                <w:szCs w:val="25"/>
              </w:rPr>
              <w:t xml:space="preserve">судимость, также не привлекаться </w:t>
            </w:r>
            <w:r w:rsidRPr="00216CD9">
              <w:rPr>
                <w:b/>
                <w:i/>
                <w:sz w:val="25"/>
                <w:szCs w:val="25"/>
              </w:rPr>
              <w:t>к административным взысканиям,</w:t>
            </w:r>
            <w:r w:rsidRPr="00216CD9">
              <w:rPr>
                <w:b/>
                <w:i/>
                <w:sz w:val="25"/>
                <w:szCs w:val="25"/>
              </w:rPr>
              <w:t xml:space="preserve"> </w:t>
            </w:r>
            <w:r w:rsidRPr="00216CD9">
              <w:rPr>
                <w:i/>
                <w:sz w:val="25"/>
                <w:szCs w:val="25"/>
              </w:rPr>
              <w:t xml:space="preserve">указанным в п.4 ч.6 ст. 10 ЗРК «Об охранной деятельности» и не находиться на учете в наркологическом и психологическом диспансерах, для подтверждения необходимо предоставить </w:t>
            </w:r>
            <w:r w:rsidRPr="00216CD9">
              <w:rPr>
                <w:b/>
                <w:i/>
                <w:sz w:val="25"/>
                <w:szCs w:val="25"/>
              </w:rPr>
              <w:t>оригинал соответствующих справок</w:t>
            </w:r>
            <w:r w:rsidRPr="00216CD9">
              <w:rPr>
                <w:i/>
                <w:sz w:val="25"/>
                <w:szCs w:val="25"/>
              </w:rPr>
              <w:t>, выданной не ранее одного месяца, предшествующего дате вскрытия тендерных заявок.</w:t>
            </w:r>
          </w:p>
          <w:p w14:paraId="7061A980" w14:textId="390EC76F" w:rsidR="00BD745F" w:rsidRPr="00216CD9" w:rsidRDefault="004221F7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   </w:t>
            </w:r>
            <w:r w:rsidR="0061672F" w:rsidRPr="00216CD9">
              <w:rPr>
                <w:sz w:val="25"/>
                <w:szCs w:val="25"/>
              </w:rPr>
              <w:t xml:space="preserve">В </w:t>
            </w:r>
            <w:r w:rsidRPr="00216CD9">
              <w:rPr>
                <w:sz w:val="25"/>
                <w:szCs w:val="25"/>
              </w:rPr>
              <w:t>дополнени</w:t>
            </w:r>
            <w:r w:rsidR="00BD4143" w:rsidRPr="00216CD9">
              <w:rPr>
                <w:sz w:val="25"/>
                <w:szCs w:val="25"/>
              </w:rPr>
              <w:t>и</w:t>
            </w:r>
            <w:r w:rsidR="004937CC" w:rsidRPr="00216CD9">
              <w:rPr>
                <w:sz w:val="25"/>
                <w:szCs w:val="25"/>
              </w:rPr>
              <w:t xml:space="preserve"> к заявке ТОО «Профессионал-Секьюрити» </w:t>
            </w:r>
            <w:r w:rsidRPr="00216CD9">
              <w:rPr>
                <w:sz w:val="25"/>
                <w:szCs w:val="25"/>
              </w:rPr>
              <w:t xml:space="preserve">предоставил </w:t>
            </w:r>
            <w:r w:rsidR="004937CC" w:rsidRPr="00216CD9">
              <w:rPr>
                <w:sz w:val="25"/>
                <w:szCs w:val="25"/>
              </w:rPr>
              <w:t>оригинал справк</w:t>
            </w:r>
            <w:r w:rsidR="00A62884" w:rsidRPr="00216CD9">
              <w:rPr>
                <w:sz w:val="25"/>
                <w:szCs w:val="25"/>
              </w:rPr>
              <w:t>и</w:t>
            </w:r>
            <w:r w:rsidRPr="00216CD9">
              <w:rPr>
                <w:sz w:val="25"/>
                <w:szCs w:val="25"/>
              </w:rPr>
              <w:t xml:space="preserve"> об отсутствии административных правонарушений на </w:t>
            </w:r>
            <w:proofErr w:type="spellStart"/>
            <w:r w:rsidRPr="00216CD9">
              <w:rPr>
                <w:sz w:val="25"/>
                <w:szCs w:val="25"/>
              </w:rPr>
              <w:t>Аканеева</w:t>
            </w:r>
            <w:proofErr w:type="spellEnd"/>
            <w:r w:rsidRPr="00216CD9">
              <w:rPr>
                <w:sz w:val="25"/>
                <w:szCs w:val="25"/>
              </w:rPr>
              <w:t xml:space="preserve"> С.В. Тогда как, </w:t>
            </w:r>
            <w:proofErr w:type="spellStart"/>
            <w:r w:rsidRPr="00216CD9">
              <w:rPr>
                <w:sz w:val="25"/>
                <w:szCs w:val="25"/>
              </w:rPr>
              <w:t>Аканеев</w:t>
            </w:r>
            <w:proofErr w:type="spellEnd"/>
            <w:r w:rsidRPr="00216CD9">
              <w:rPr>
                <w:sz w:val="25"/>
                <w:szCs w:val="25"/>
              </w:rPr>
              <w:t xml:space="preserve"> С.В, </w:t>
            </w:r>
            <w:r w:rsidR="0004421D" w:rsidRPr="00216CD9">
              <w:rPr>
                <w:sz w:val="25"/>
                <w:szCs w:val="25"/>
              </w:rPr>
              <w:t xml:space="preserve">не является привлекаемым персоналом для осуществления охранной деятельности. </w:t>
            </w:r>
            <w:proofErr w:type="spellStart"/>
            <w:r w:rsidR="0004421D" w:rsidRPr="00216CD9">
              <w:rPr>
                <w:sz w:val="25"/>
                <w:szCs w:val="25"/>
              </w:rPr>
              <w:t>Аканеев</w:t>
            </w:r>
            <w:proofErr w:type="spellEnd"/>
            <w:r w:rsidR="0004421D" w:rsidRPr="00216CD9">
              <w:rPr>
                <w:sz w:val="25"/>
                <w:szCs w:val="25"/>
              </w:rPr>
              <w:t xml:space="preserve"> С.В.- директор </w:t>
            </w:r>
            <w:r w:rsidR="0004421D" w:rsidRPr="00216CD9">
              <w:rPr>
                <w:sz w:val="25"/>
                <w:szCs w:val="25"/>
              </w:rPr>
              <w:t>ТОО «Профессионал-Секьюрити»</w:t>
            </w:r>
            <w:r w:rsidR="0004421D" w:rsidRPr="00216CD9">
              <w:rPr>
                <w:sz w:val="25"/>
                <w:szCs w:val="25"/>
              </w:rPr>
              <w:t>.</w:t>
            </w:r>
          </w:p>
          <w:p w14:paraId="08A03B42" w14:textId="37049BC5" w:rsidR="00BD745F" w:rsidRPr="00216CD9" w:rsidRDefault="00BD745F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    Согласно п.12.9 </w:t>
            </w:r>
            <w:r w:rsidRPr="00216CD9">
              <w:rPr>
                <w:sz w:val="25"/>
                <w:szCs w:val="25"/>
              </w:rPr>
              <w:t>Правил закупок товаров, работ и услуг,</w:t>
            </w:r>
            <w:r w:rsidRPr="00216CD9">
              <w:rPr>
                <w:sz w:val="25"/>
                <w:szCs w:val="25"/>
              </w:rPr>
              <w:t xml:space="preserve"> </w:t>
            </w:r>
            <w:r w:rsidR="00216CD9" w:rsidRPr="00216CD9">
              <w:rPr>
                <w:sz w:val="25"/>
                <w:szCs w:val="25"/>
              </w:rPr>
              <w:t xml:space="preserve">и п.40 Тендерной </w:t>
            </w:r>
            <w:proofErr w:type="gramStart"/>
            <w:r w:rsidR="00216CD9" w:rsidRPr="00216CD9">
              <w:rPr>
                <w:sz w:val="25"/>
                <w:szCs w:val="25"/>
              </w:rPr>
              <w:t xml:space="preserve">документации  </w:t>
            </w:r>
            <w:r w:rsidRPr="00216CD9">
              <w:rPr>
                <w:sz w:val="25"/>
                <w:szCs w:val="25"/>
              </w:rPr>
              <w:t>Потенциальный</w:t>
            </w:r>
            <w:proofErr w:type="gramEnd"/>
            <w:r w:rsidRPr="00216CD9">
              <w:rPr>
                <w:sz w:val="25"/>
                <w:szCs w:val="25"/>
              </w:rPr>
              <w:t xml:space="preserve"> поставщик, определенный на предварительном допуске не соответствующим </w:t>
            </w:r>
            <w:r w:rsidRPr="00216CD9">
              <w:rPr>
                <w:sz w:val="25"/>
                <w:szCs w:val="25"/>
              </w:rPr>
              <w:lastRenderedPageBreak/>
              <w:t>квалификационным требованиям и требованиям тен</w:t>
            </w:r>
            <w:r w:rsidR="00E225D9" w:rsidRPr="00216CD9">
              <w:rPr>
                <w:sz w:val="25"/>
                <w:szCs w:val="25"/>
              </w:rPr>
              <w:t xml:space="preserve">дерной </w:t>
            </w:r>
            <w:r w:rsidRPr="00216CD9">
              <w:rPr>
                <w:sz w:val="25"/>
                <w:szCs w:val="25"/>
              </w:rPr>
              <w:t xml:space="preserve">документации представляет тендерной комиссии </w:t>
            </w:r>
            <w:r w:rsidRPr="00216CD9">
              <w:rPr>
                <w:b/>
                <w:sz w:val="25"/>
                <w:szCs w:val="25"/>
              </w:rPr>
              <w:t>для повторного рассмотрения заявок только те документы, сведения и иные подтверждения, которые явились объектом не соответствия, которые указаны в протоколе предварительного допуска к участию в тендере</w:t>
            </w:r>
            <w:r w:rsidRPr="00216CD9">
              <w:rPr>
                <w:sz w:val="25"/>
                <w:szCs w:val="25"/>
              </w:rPr>
              <w:t>.</w:t>
            </w:r>
          </w:p>
          <w:p w14:paraId="2B20A422" w14:textId="4BFC10D5" w:rsidR="0004421D" w:rsidRPr="00216CD9" w:rsidRDefault="0004421D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     Изучив представленные документы </w:t>
            </w:r>
            <w:r w:rsidR="00271A6F" w:rsidRPr="00216CD9">
              <w:rPr>
                <w:sz w:val="25"/>
                <w:szCs w:val="25"/>
              </w:rPr>
              <w:t>комиссия,</w:t>
            </w:r>
            <w:r w:rsidRPr="00216CD9">
              <w:rPr>
                <w:sz w:val="25"/>
                <w:szCs w:val="25"/>
              </w:rPr>
              <w:t xml:space="preserve"> руководствуясь </w:t>
            </w:r>
            <w:proofErr w:type="spellStart"/>
            <w:r w:rsidR="004937CC" w:rsidRPr="00216CD9">
              <w:rPr>
                <w:sz w:val="25"/>
                <w:szCs w:val="25"/>
              </w:rPr>
              <w:t>п</w:t>
            </w:r>
            <w:r w:rsidRPr="00216CD9">
              <w:rPr>
                <w:sz w:val="25"/>
                <w:szCs w:val="25"/>
              </w:rPr>
              <w:t>.п</w:t>
            </w:r>
            <w:proofErr w:type="spellEnd"/>
            <w:r w:rsidRPr="00216CD9">
              <w:rPr>
                <w:sz w:val="25"/>
                <w:szCs w:val="25"/>
              </w:rPr>
              <w:t>.</w:t>
            </w:r>
            <w:r w:rsidR="004937CC" w:rsidRPr="00216CD9">
              <w:rPr>
                <w:sz w:val="25"/>
                <w:szCs w:val="25"/>
              </w:rPr>
              <w:t xml:space="preserve"> 1) пункта </w:t>
            </w:r>
            <w:r w:rsidRPr="00216CD9">
              <w:rPr>
                <w:sz w:val="25"/>
                <w:szCs w:val="25"/>
              </w:rPr>
              <w:t>8</w:t>
            </w:r>
            <w:r w:rsidR="004937CC" w:rsidRPr="00216CD9">
              <w:rPr>
                <w:sz w:val="25"/>
                <w:szCs w:val="25"/>
              </w:rPr>
              <w:t xml:space="preserve">.12 Правил закупок товаров, работ и услуг, </w:t>
            </w:r>
            <w:r w:rsidRPr="00216CD9">
              <w:rPr>
                <w:sz w:val="25"/>
                <w:szCs w:val="25"/>
              </w:rPr>
              <w:t xml:space="preserve">а также </w:t>
            </w:r>
            <w:r w:rsidR="00BD745F" w:rsidRPr="00216CD9">
              <w:rPr>
                <w:sz w:val="25"/>
                <w:szCs w:val="25"/>
              </w:rPr>
              <w:t xml:space="preserve">п.п.1 </w:t>
            </w:r>
            <w:r w:rsidRPr="00216CD9">
              <w:rPr>
                <w:sz w:val="25"/>
                <w:szCs w:val="25"/>
              </w:rPr>
              <w:t xml:space="preserve">п.14 Тендерной документации, считает тендерную заявку ТОО </w:t>
            </w:r>
            <w:r w:rsidRPr="00216CD9">
              <w:rPr>
                <w:sz w:val="25"/>
                <w:szCs w:val="25"/>
              </w:rPr>
              <w:t>«Профессионал-Секьюрити»</w:t>
            </w:r>
            <w:r w:rsidRPr="00216CD9">
              <w:rPr>
                <w:sz w:val="25"/>
                <w:szCs w:val="25"/>
              </w:rPr>
              <w:t xml:space="preserve"> дополненной, что является основанием для удержания обеспечения тендерной заявки, внесенного потенциальным поставщиком </w:t>
            </w:r>
            <w:r w:rsidR="00E65F03" w:rsidRPr="00216CD9">
              <w:rPr>
                <w:sz w:val="25"/>
                <w:szCs w:val="25"/>
              </w:rPr>
              <w:t xml:space="preserve">в размере </w:t>
            </w:r>
            <w:r w:rsidR="00BD745F" w:rsidRPr="00216CD9">
              <w:rPr>
                <w:sz w:val="25"/>
                <w:szCs w:val="25"/>
              </w:rPr>
              <w:t>124</w:t>
            </w:r>
            <w:r w:rsidR="00271A6F" w:rsidRPr="00216CD9">
              <w:rPr>
                <w:sz w:val="25"/>
                <w:szCs w:val="25"/>
              </w:rPr>
              <w:t xml:space="preserve"> </w:t>
            </w:r>
            <w:r w:rsidR="00BD745F" w:rsidRPr="00216CD9">
              <w:rPr>
                <w:sz w:val="25"/>
                <w:szCs w:val="25"/>
              </w:rPr>
              <w:t>806,00</w:t>
            </w:r>
            <w:r w:rsidRPr="00216CD9">
              <w:rPr>
                <w:sz w:val="25"/>
                <w:szCs w:val="25"/>
              </w:rPr>
              <w:t xml:space="preserve"> тенге</w:t>
            </w:r>
            <w:r w:rsidR="00271A6F" w:rsidRPr="00216CD9">
              <w:rPr>
                <w:sz w:val="25"/>
                <w:szCs w:val="25"/>
              </w:rPr>
              <w:t>.</w:t>
            </w:r>
            <w:r w:rsidRPr="00216CD9">
              <w:rPr>
                <w:sz w:val="25"/>
                <w:szCs w:val="25"/>
              </w:rPr>
              <w:t xml:space="preserve"> </w:t>
            </w:r>
          </w:p>
        </w:tc>
      </w:tr>
    </w:tbl>
    <w:bookmarkEnd w:id="0"/>
    <w:p w14:paraId="672F318A" w14:textId="75EA4806" w:rsidR="004B6E21" w:rsidRPr="00216CD9" w:rsidRDefault="004B6E21" w:rsidP="00216CD9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sz w:val="25"/>
          <w:szCs w:val="25"/>
        </w:rPr>
      </w:pPr>
      <w:r w:rsidRPr="00216CD9">
        <w:rPr>
          <w:sz w:val="25"/>
          <w:szCs w:val="25"/>
        </w:rPr>
        <w:lastRenderedPageBreak/>
        <w:t xml:space="preserve">Заявки на участие в тендере, соответствующие квалификационным требованиям: 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7513"/>
      </w:tblGrid>
      <w:tr w:rsidR="004B6E21" w:rsidRPr="00216CD9" w14:paraId="1D37D361" w14:textId="77777777" w:rsidTr="00F02195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5D71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7783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№лота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D706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Наименование потенциального поставщика</w:t>
            </w:r>
          </w:p>
        </w:tc>
      </w:tr>
      <w:tr w:rsidR="004B6E21" w:rsidRPr="00216CD9" w14:paraId="2B176826" w14:textId="77777777" w:rsidTr="00F02195">
        <w:trPr>
          <w:trHeight w:val="5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4EDAF" w14:textId="77777777" w:rsidR="004B6E21" w:rsidRPr="00216CD9" w:rsidRDefault="00595757" w:rsidP="003E2912">
            <w:pPr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03F4" w14:textId="77777777" w:rsidR="004B6E21" w:rsidRPr="00216CD9" w:rsidRDefault="00595757" w:rsidP="003E2912">
            <w:pPr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7E0BD" w14:textId="77777777" w:rsidR="00E93422" w:rsidRPr="00216CD9" w:rsidRDefault="00E93422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ТОО 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«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Профессионал-Секьюрити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»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7C177604" w14:textId="5F259D9E" w:rsidR="004B6E21" w:rsidRPr="00216CD9" w:rsidRDefault="00E93422" w:rsidP="00216CD9">
            <w:pPr>
              <w:contextualSpacing/>
              <w:jc w:val="both"/>
              <w:rPr>
                <w:sz w:val="25"/>
                <w:szCs w:val="25"/>
                <w:lang w:val="en-US"/>
              </w:rPr>
            </w:pPr>
            <w:r w:rsidRPr="00216CD9">
              <w:rPr>
                <w:sz w:val="25"/>
                <w:szCs w:val="25"/>
                <w:lang w:val="en-US"/>
              </w:rPr>
              <w:t xml:space="preserve"> </w:t>
            </w:r>
          </w:p>
        </w:tc>
      </w:tr>
    </w:tbl>
    <w:p w14:paraId="3C033479" w14:textId="77777777" w:rsidR="004B6E21" w:rsidRPr="00216CD9" w:rsidRDefault="004B6E21" w:rsidP="00216CD9">
      <w:pPr>
        <w:pStyle w:val="a6"/>
        <w:numPr>
          <w:ilvl w:val="0"/>
          <w:numId w:val="3"/>
        </w:numPr>
        <w:spacing w:after="0" w:line="240" w:lineRule="auto"/>
        <w:contextualSpacing/>
        <w:jc w:val="both"/>
        <w:rPr>
          <w:sz w:val="25"/>
          <w:szCs w:val="25"/>
        </w:rPr>
      </w:pPr>
      <w:r w:rsidRPr="00216CD9">
        <w:rPr>
          <w:sz w:val="25"/>
          <w:szCs w:val="25"/>
        </w:rPr>
        <w:t xml:space="preserve">Заявки на участие в тендере, соответствующие требованиям тендерной документации: 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7513"/>
      </w:tblGrid>
      <w:tr w:rsidR="004B6E21" w:rsidRPr="00216CD9" w14:paraId="6F7501E6" w14:textId="77777777" w:rsidTr="00F02195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E869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F7E8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№лота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7178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Наименование потенциального поставщика</w:t>
            </w:r>
          </w:p>
        </w:tc>
      </w:tr>
      <w:tr w:rsidR="000B420C" w:rsidRPr="00216CD9" w14:paraId="64B2C542" w14:textId="77777777" w:rsidTr="00F02195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6D7C0" w14:textId="77777777" w:rsidR="000B420C" w:rsidRPr="00216CD9" w:rsidRDefault="000B420C" w:rsidP="003E2912">
            <w:pPr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E30D" w14:textId="6959C822" w:rsidR="000B420C" w:rsidRPr="00216CD9" w:rsidRDefault="00EF228E" w:rsidP="003E2912">
            <w:pPr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3EC5" w14:textId="1761D77D" w:rsidR="000B420C" w:rsidRPr="00216CD9" w:rsidRDefault="00D01F3C" w:rsidP="00216CD9">
            <w:pPr>
              <w:contextualSpacing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 </w:t>
            </w:r>
            <w:r w:rsidR="00216CD9">
              <w:rPr>
                <w:sz w:val="25"/>
                <w:szCs w:val="25"/>
              </w:rPr>
              <w:t xml:space="preserve"> </w:t>
            </w:r>
            <w:r w:rsidR="00B1687A" w:rsidRPr="00216CD9">
              <w:rPr>
                <w:sz w:val="25"/>
                <w:szCs w:val="25"/>
              </w:rPr>
              <w:t xml:space="preserve"> Отсутствуют</w:t>
            </w:r>
          </w:p>
        </w:tc>
      </w:tr>
    </w:tbl>
    <w:p w14:paraId="466F9058" w14:textId="6ED612F4" w:rsidR="00E20829" w:rsidRPr="00216CD9" w:rsidRDefault="00E20829" w:rsidP="00216CD9">
      <w:pPr>
        <w:pStyle w:val="a9"/>
        <w:numPr>
          <w:ilvl w:val="0"/>
          <w:numId w:val="3"/>
        </w:numPr>
        <w:spacing w:after="0" w:line="240" w:lineRule="auto"/>
        <w:ind w:left="-142" w:firstLine="502"/>
        <w:contextualSpacing/>
        <w:jc w:val="both"/>
        <w:rPr>
          <w:sz w:val="25"/>
          <w:szCs w:val="25"/>
        </w:rPr>
      </w:pPr>
      <w:r w:rsidRPr="00216CD9">
        <w:rPr>
          <w:sz w:val="25"/>
          <w:szCs w:val="25"/>
        </w:rPr>
        <w:t>Информация о результатах применения относительного значения критериев, пред</w:t>
      </w:r>
      <w:r w:rsidR="003523B5" w:rsidRPr="00216CD9">
        <w:rPr>
          <w:sz w:val="25"/>
          <w:szCs w:val="25"/>
        </w:rPr>
        <w:t>усмотренных пунктом 8.6</w:t>
      </w:r>
      <w:r w:rsidR="00070494" w:rsidRPr="00216CD9">
        <w:rPr>
          <w:rFonts w:eastAsia="Times New Roman"/>
          <w:sz w:val="25"/>
          <w:szCs w:val="25"/>
          <w:lang w:eastAsia="ru-RU"/>
        </w:rPr>
        <w:t>.</w:t>
      </w:r>
      <w:r w:rsidR="00070494" w:rsidRPr="00216CD9">
        <w:rPr>
          <w:rFonts w:eastAsia="Times New Roman"/>
          <w:sz w:val="25"/>
          <w:szCs w:val="25"/>
          <w:lang w:eastAsia="ru-RU"/>
        </w:rPr>
        <w:t xml:space="preserve"> </w:t>
      </w:r>
      <w:r w:rsidR="003523B5" w:rsidRPr="00216CD9">
        <w:rPr>
          <w:rFonts w:eastAsia="Times New Roman"/>
          <w:sz w:val="25"/>
          <w:szCs w:val="25"/>
          <w:lang w:eastAsia="ru-RU"/>
        </w:rPr>
        <w:t>Правил: Не применялось</w:t>
      </w:r>
    </w:p>
    <w:p w14:paraId="39466FF0" w14:textId="2435E044" w:rsidR="004B6E21" w:rsidRPr="00216CD9" w:rsidRDefault="004B6E21" w:rsidP="00216CD9">
      <w:pPr>
        <w:pStyle w:val="a"/>
        <w:numPr>
          <w:ilvl w:val="0"/>
          <w:numId w:val="3"/>
        </w:numPr>
        <w:tabs>
          <w:tab w:val="left" w:pos="993"/>
        </w:tabs>
        <w:ind w:left="0" w:firstLine="502"/>
        <w:jc w:val="both"/>
        <w:rPr>
          <w:sz w:val="25"/>
          <w:szCs w:val="25"/>
        </w:rPr>
      </w:pPr>
      <w:r w:rsidRPr="00216CD9">
        <w:rPr>
          <w:sz w:val="25"/>
          <w:szCs w:val="25"/>
        </w:rPr>
        <w:t>При вскрытии дополнений к тендерным заявкам по замечаниям тендерной комиссии присутствовали представители следующих потенциальных поставщиков:</w:t>
      </w:r>
    </w:p>
    <w:tbl>
      <w:tblPr>
        <w:tblW w:w="9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677"/>
        <w:gridCol w:w="3678"/>
      </w:tblGrid>
      <w:tr w:rsidR="004B6E21" w:rsidRPr="00216CD9" w14:paraId="2AF917FA" w14:textId="77777777" w:rsidTr="00651D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BE6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 п/п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5BDD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Наименование</w:t>
            </w:r>
          </w:p>
          <w:p w14:paraId="3E3AD094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потенциального поставщика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8672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Ф.И.О.</w:t>
            </w:r>
          </w:p>
          <w:p w14:paraId="1F12B010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уполномоченного представителя</w:t>
            </w:r>
          </w:p>
        </w:tc>
      </w:tr>
      <w:tr w:rsidR="004B6E21" w:rsidRPr="00216CD9" w14:paraId="39C68E70" w14:textId="77777777" w:rsidTr="00651D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435" w14:textId="791B0A51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8C8C" w14:textId="0B42AA91" w:rsidR="004B6E21" w:rsidRPr="00216CD9" w:rsidRDefault="00D01F3C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Отсутствовали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A1C9" w14:textId="17963925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</w:p>
        </w:tc>
      </w:tr>
    </w:tbl>
    <w:p w14:paraId="1153202E" w14:textId="77777777" w:rsidR="004B6E21" w:rsidRPr="00216CD9" w:rsidRDefault="004B6E21" w:rsidP="00216CD9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b/>
          <w:sz w:val="25"/>
          <w:szCs w:val="25"/>
        </w:rPr>
      </w:pPr>
      <w:r w:rsidRPr="00216CD9">
        <w:rPr>
          <w:b/>
          <w:sz w:val="25"/>
          <w:szCs w:val="25"/>
        </w:rPr>
        <w:t>Тендерная комиссия по результатам рассмотрения заявок на участие в тендере РЕШИЛА:</w:t>
      </w:r>
    </w:p>
    <w:p w14:paraId="3D062EBF" w14:textId="77777777" w:rsidR="004B6E21" w:rsidRPr="00216CD9" w:rsidRDefault="004B6E21" w:rsidP="00216CD9">
      <w:pPr>
        <w:pStyle w:val="a6"/>
        <w:numPr>
          <w:ilvl w:val="0"/>
          <w:numId w:val="4"/>
        </w:numPr>
        <w:spacing w:after="0" w:line="240" w:lineRule="auto"/>
        <w:contextualSpacing/>
        <w:jc w:val="both"/>
        <w:rPr>
          <w:sz w:val="25"/>
          <w:szCs w:val="25"/>
        </w:rPr>
      </w:pPr>
      <w:r w:rsidRPr="00216CD9">
        <w:rPr>
          <w:sz w:val="25"/>
          <w:szCs w:val="25"/>
        </w:rPr>
        <w:t>Не допустить заявки потенциальных поставщиков на участие в тендере:</w:t>
      </w:r>
    </w:p>
    <w:tbl>
      <w:tblPr>
        <w:tblW w:w="9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8"/>
        <w:gridCol w:w="918"/>
        <w:gridCol w:w="3687"/>
        <w:gridCol w:w="1945"/>
        <w:gridCol w:w="2800"/>
      </w:tblGrid>
      <w:tr w:rsidR="004B6E21" w:rsidRPr="00216CD9" w14:paraId="76952ED2" w14:textId="77777777" w:rsidTr="002D40B8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C2B68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</w:t>
            </w:r>
          </w:p>
          <w:p w14:paraId="6C59FC56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п/п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25AFD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</w:t>
            </w:r>
          </w:p>
          <w:p w14:paraId="4DD97D8B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лота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0AF9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C540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БИН (ИИН)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1D71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Адрес местонахождения </w:t>
            </w:r>
          </w:p>
        </w:tc>
      </w:tr>
      <w:tr w:rsidR="00FE01D7" w:rsidRPr="00216CD9" w14:paraId="59BA8DD5" w14:textId="77777777" w:rsidTr="00D378DB">
        <w:trPr>
          <w:trHeight w:val="1298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22606" w14:textId="73265E92" w:rsidR="00FE01D7" w:rsidRPr="00216CD9" w:rsidRDefault="00B56B7B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99836" w14:textId="17B69614" w:rsidR="00FE01D7" w:rsidRPr="00216CD9" w:rsidRDefault="00B56B7B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F6B9A" w14:textId="4F52E8C1" w:rsidR="00FE01D7" w:rsidRPr="00216CD9" w:rsidRDefault="008D2D42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ТОО «Профессионал-Секьюрити»</w:t>
            </w:r>
          </w:p>
          <w:p w14:paraId="768115E6" w14:textId="5020C982" w:rsidR="00FE01D7" w:rsidRPr="00216CD9" w:rsidRDefault="00FE01D7" w:rsidP="00216CD9">
            <w:pPr>
              <w:contextualSpacing/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200EE" w14:textId="03CB8FA9" w:rsidR="00FE01D7" w:rsidRPr="00216CD9" w:rsidRDefault="008D2D42" w:rsidP="00216CD9">
            <w:pPr>
              <w:contextualSpacing/>
              <w:jc w:val="both"/>
              <w:rPr>
                <w:color w:val="000000"/>
                <w:sz w:val="25"/>
                <w:szCs w:val="25"/>
              </w:rPr>
            </w:pPr>
            <w:r w:rsidRPr="00216CD9">
              <w:rPr>
                <w:rFonts w:eastAsia="Calibri"/>
                <w:sz w:val="25"/>
                <w:szCs w:val="25"/>
                <w:lang w:eastAsia="en-US"/>
              </w:rPr>
              <w:t xml:space="preserve">070140011605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E8A12" w14:textId="28DD0C6E" w:rsidR="00FE01D7" w:rsidRPr="00216CD9" w:rsidRDefault="008D2D42" w:rsidP="00216CD9">
            <w:pPr>
              <w:pStyle w:val="Standard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 xml:space="preserve">Карагандинская область, город Караганда, р-он имени </w:t>
            </w:r>
            <w:proofErr w:type="spellStart"/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>Казыбек</w:t>
            </w:r>
            <w:proofErr w:type="spellEnd"/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 xml:space="preserve"> Би, </w:t>
            </w:r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kk-KZ"/>
              </w:rPr>
              <w:t xml:space="preserve">ул. Ерубаева </w:t>
            </w:r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 xml:space="preserve">54, </w:t>
            </w:r>
            <w:proofErr w:type="spellStart"/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>н.п</w:t>
            </w:r>
            <w:proofErr w:type="spellEnd"/>
            <w:r w:rsidRPr="00216CD9">
              <w:rPr>
                <w:rFonts w:ascii="Times New Roman" w:eastAsia="Calibri" w:hAnsi="Times New Roman" w:cs="Times New Roman"/>
                <w:kern w:val="0"/>
                <w:sz w:val="25"/>
                <w:szCs w:val="25"/>
              </w:rPr>
              <w:t xml:space="preserve">. 3 </w:t>
            </w:r>
          </w:p>
          <w:p w14:paraId="065A855A" w14:textId="48AB9561" w:rsidR="00FE01D7" w:rsidRPr="00216CD9" w:rsidRDefault="00FE01D7" w:rsidP="00216CD9">
            <w:pPr>
              <w:contextualSpacing/>
              <w:jc w:val="both"/>
              <w:rPr>
                <w:color w:val="000000"/>
                <w:sz w:val="25"/>
                <w:szCs w:val="25"/>
              </w:rPr>
            </w:pPr>
          </w:p>
        </w:tc>
      </w:tr>
    </w:tbl>
    <w:p w14:paraId="64E010CC" w14:textId="77777777" w:rsidR="004B6E21" w:rsidRPr="00216CD9" w:rsidRDefault="004B6E21" w:rsidP="00216CD9">
      <w:pPr>
        <w:pStyle w:val="a6"/>
        <w:numPr>
          <w:ilvl w:val="0"/>
          <w:numId w:val="4"/>
        </w:numPr>
        <w:spacing w:after="0" w:line="240" w:lineRule="auto"/>
        <w:contextualSpacing/>
        <w:jc w:val="both"/>
        <w:rPr>
          <w:sz w:val="25"/>
          <w:szCs w:val="25"/>
        </w:rPr>
      </w:pPr>
      <w:r w:rsidRPr="00216CD9">
        <w:rPr>
          <w:sz w:val="25"/>
          <w:szCs w:val="25"/>
        </w:rPr>
        <w:t>Допустить заявки потенциальных поставщиков на участие в тендере:</w:t>
      </w:r>
    </w:p>
    <w:tbl>
      <w:tblPr>
        <w:tblW w:w="9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8"/>
        <w:gridCol w:w="770"/>
        <w:gridCol w:w="3026"/>
        <w:gridCol w:w="1694"/>
        <w:gridCol w:w="3860"/>
      </w:tblGrid>
      <w:tr w:rsidR="004B6E21" w:rsidRPr="00216CD9" w14:paraId="2F7165F9" w14:textId="77777777" w:rsidTr="00485DA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15BF2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lastRenderedPageBreak/>
              <w:t>№</w:t>
            </w:r>
          </w:p>
          <w:p w14:paraId="006113BB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п/п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A4FC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№</w:t>
            </w:r>
          </w:p>
          <w:p w14:paraId="294C1CED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лота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8151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FCBC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БИН (ИИН)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378E2" w14:textId="77777777" w:rsidR="004B6E21" w:rsidRPr="00216CD9" w:rsidRDefault="004B6E21" w:rsidP="00216CD9">
            <w:pPr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 xml:space="preserve">Адрес местонахождения </w:t>
            </w:r>
          </w:p>
        </w:tc>
      </w:tr>
      <w:tr w:rsidR="009F306E" w:rsidRPr="00216CD9" w14:paraId="225B9AF5" w14:textId="77777777" w:rsidTr="00485DAA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1BC47" w14:textId="4B16C447" w:rsidR="009F306E" w:rsidRPr="00216CD9" w:rsidRDefault="00C56EFA" w:rsidP="008A438E">
            <w:pPr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0B9D3" w14:textId="4374B6BA" w:rsidR="009F306E" w:rsidRPr="00216CD9" w:rsidRDefault="00C56EFA" w:rsidP="008A438E">
            <w:pPr>
              <w:contextualSpacing/>
              <w:jc w:val="center"/>
              <w:rPr>
                <w:sz w:val="25"/>
                <w:szCs w:val="25"/>
              </w:rPr>
            </w:pPr>
            <w:r w:rsidRPr="00216CD9">
              <w:rPr>
                <w:sz w:val="25"/>
                <w:szCs w:val="25"/>
              </w:rPr>
              <w:t>1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7971A" w14:textId="6DA59BF7" w:rsidR="009F306E" w:rsidRPr="00216CD9" w:rsidRDefault="00BD4143" w:rsidP="00216CD9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16CD9">
              <w:rPr>
                <w:rFonts w:ascii="Times New Roman" w:hAnsi="Times New Roman" w:cs="Times New Roman"/>
                <w:sz w:val="25"/>
                <w:szCs w:val="25"/>
              </w:rPr>
              <w:t>Отсутствую</w:t>
            </w:r>
            <w:r w:rsidR="0061672F" w:rsidRPr="00216CD9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09BB5" w14:textId="0AA652EE" w:rsidR="009F306E" w:rsidRPr="00216CD9" w:rsidRDefault="009F306E" w:rsidP="00216CD9">
            <w:pPr>
              <w:contextualSpacing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E5F1D" w14:textId="70E8DADC" w:rsidR="00F22492" w:rsidRPr="00216CD9" w:rsidRDefault="00F22492" w:rsidP="00216CD9">
            <w:pPr>
              <w:pStyle w:val="Standard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</w:p>
          <w:p w14:paraId="5E489A7D" w14:textId="4943DA3D" w:rsidR="009F306E" w:rsidRPr="00216CD9" w:rsidRDefault="00F22492" w:rsidP="00216CD9">
            <w:pPr>
              <w:contextualSpacing/>
              <w:jc w:val="both"/>
              <w:rPr>
                <w:color w:val="000000"/>
                <w:sz w:val="25"/>
                <w:szCs w:val="25"/>
              </w:rPr>
            </w:pPr>
            <w:r w:rsidRPr="00216CD9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441B5FCE" w14:textId="77777777" w:rsidR="00216CD9" w:rsidRDefault="00485DAA" w:rsidP="00DA0857">
      <w:pPr>
        <w:pStyle w:val="a"/>
        <w:numPr>
          <w:ilvl w:val="0"/>
          <w:numId w:val="4"/>
        </w:numPr>
        <w:jc w:val="both"/>
        <w:rPr>
          <w:rFonts w:eastAsia="Calibri"/>
          <w:sz w:val="25"/>
          <w:szCs w:val="25"/>
          <w:lang w:eastAsia="en-US"/>
        </w:rPr>
      </w:pPr>
      <w:r w:rsidRPr="00216CD9">
        <w:rPr>
          <w:rFonts w:eastAsia="Calibri"/>
          <w:sz w:val="25"/>
          <w:szCs w:val="25"/>
          <w:lang w:eastAsia="en-US"/>
        </w:rPr>
        <w:t xml:space="preserve">Не назначать заседание тендерной комиссии по оценке и сопоставлению </w:t>
      </w:r>
    </w:p>
    <w:p w14:paraId="2F5471E9" w14:textId="69373395" w:rsidR="004B6E21" w:rsidRPr="00216CD9" w:rsidRDefault="00485DAA" w:rsidP="00216CD9">
      <w:pPr>
        <w:jc w:val="both"/>
        <w:rPr>
          <w:rFonts w:eastAsia="Calibri"/>
          <w:sz w:val="25"/>
          <w:szCs w:val="25"/>
          <w:lang w:eastAsia="en-US"/>
        </w:rPr>
      </w:pPr>
      <w:r w:rsidRPr="00216CD9">
        <w:rPr>
          <w:rFonts w:eastAsia="Calibri"/>
          <w:sz w:val="25"/>
          <w:szCs w:val="25"/>
          <w:lang w:eastAsia="en-US"/>
        </w:rPr>
        <w:t>тендерных ценовых предложений по лоту № 1 по закупкам услуг «</w:t>
      </w:r>
      <w:r w:rsidRPr="00216CD9">
        <w:rPr>
          <w:bCs/>
          <w:sz w:val="25"/>
          <w:szCs w:val="25"/>
        </w:rPr>
        <w:t>Физическая охрана филиала НАО «Республиканская физико-математическая школа»</w:t>
      </w:r>
    </w:p>
    <w:p w14:paraId="42D73B68" w14:textId="77777777" w:rsidR="00216CD9" w:rsidRPr="00216CD9" w:rsidRDefault="004B6E21" w:rsidP="00216CD9">
      <w:pPr>
        <w:pStyle w:val="a"/>
        <w:numPr>
          <w:ilvl w:val="0"/>
          <w:numId w:val="3"/>
        </w:numPr>
        <w:tabs>
          <w:tab w:val="left" w:pos="284"/>
          <w:tab w:val="left" w:pos="360"/>
          <w:tab w:val="left" w:pos="1134"/>
        </w:tabs>
        <w:ind w:left="-142" w:firstLine="502"/>
        <w:jc w:val="both"/>
        <w:rPr>
          <w:b/>
          <w:color w:val="333399"/>
          <w:sz w:val="25"/>
          <w:szCs w:val="25"/>
          <w:u w:val="single"/>
        </w:rPr>
      </w:pPr>
      <w:r w:rsidRPr="00216CD9">
        <w:rPr>
          <w:sz w:val="25"/>
          <w:szCs w:val="25"/>
        </w:rPr>
        <w:t>Секретарю тендерной комиссии разместить текст данного протокола на Интернет-</w:t>
      </w:r>
      <w:r w:rsidR="00216CD9">
        <w:rPr>
          <w:sz w:val="25"/>
          <w:szCs w:val="25"/>
        </w:rPr>
        <w:t xml:space="preserve">   </w:t>
      </w:r>
    </w:p>
    <w:p w14:paraId="60C7452D" w14:textId="61410EB2" w:rsidR="004B6E21" w:rsidRPr="00216CD9" w:rsidRDefault="00216CD9" w:rsidP="00216CD9">
      <w:pPr>
        <w:tabs>
          <w:tab w:val="left" w:pos="284"/>
          <w:tab w:val="left" w:pos="360"/>
          <w:tab w:val="left" w:pos="1134"/>
        </w:tabs>
        <w:ind w:left="-142"/>
        <w:jc w:val="both"/>
        <w:rPr>
          <w:rStyle w:val="a5"/>
          <w:b/>
          <w:sz w:val="25"/>
          <w:szCs w:val="25"/>
        </w:rPr>
      </w:pPr>
      <w:r>
        <w:rPr>
          <w:sz w:val="25"/>
          <w:szCs w:val="25"/>
        </w:rPr>
        <w:t xml:space="preserve">    </w:t>
      </w:r>
      <w:r w:rsidR="004B6E21" w:rsidRPr="00216CD9">
        <w:rPr>
          <w:sz w:val="25"/>
          <w:szCs w:val="25"/>
        </w:rPr>
        <w:t xml:space="preserve">ресурсе </w:t>
      </w:r>
      <w:r w:rsidR="00B23BE6" w:rsidRPr="00216CD9">
        <w:rPr>
          <w:sz w:val="25"/>
          <w:szCs w:val="25"/>
        </w:rPr>
        <w:t>Н</w:t>
      </w:r>
      <w:r w:rsidR="004B6E21" w:rsidRPr="00216CD9">
        <w:rPr>
          <w:sz w:val="25"/>
          <w:szCs w:val="25"/>
        </w:rPr>
        <w:t xml:space="preserve">АО: </w:t>
      </w:r>
      <w:proofErr w:type="gramStart"/>
      <w:r w:rsidR="006F1898" w:rsidRPr="00216CD9">
        <w:rPr>
          <w:rStyle w:val="a5"/>
          <w:color w:val="000000" w:themeColor="text1"/>
          <w:sz w:val="25"/>
          <w:szCs w:val="25"/>
        </w:rPr>
        <w:t xml:space="preserve">www.fizmat.kz </w:t>
      </w:r>
      <w:r w:rsidR="00B23BE6" w:rsidRPr="00216CD9">
        <w:rPr>
          <w:color w:val="000000" w:themeColor="text1"/>
          <w:sz w:val="25"/>
          <w:szCs w:val="25"/>
          <w:u w:val="single"/>
        </w:rPr>
        <w:t>.</w:t>
      </w:r>
      <w:proofErr w:type="gramEnd"/>
    </w:p>
    <w:p w14:paraId="57B5BBFE" w14:textId="16CBC5AA" w:rsidR="004B6E21" w:rsidRPr="00216CD9" w:rsidRDefault="004B6E21" w:rsidP="00216CD9">
      <w:pPr>
        <w:pStyle w:val="a"/>
        <w:numPr>
          <w:ilvl w:val="0"/>
          <w:numId w:val="3"/>
        </w:numPr>
        <w:tabs>
          <w:tab w:val="left" w:pos="284"/>
          <w:tab w:val="left" w:pos="360"/>
          <w:tab w:val="left" w:pos="1134"/>
        </w:tabs>
        <w:jc w:val="both"/>
        <w:rPr>
          <w:rStyle w:val="a5"/>
          <w:b/>
          <w:color w:val="000000" w:themeColor="text1"/>
          <w:sz w:val="25"/>
          <w:szCs w:val="25"/>
        </w:rPr>
      </w:pPr>
      <w:bookmarkStart w:id="1" w:name="_GoBack"/>
      <w:r w:rsidRPr="00216CD9">
        <w:rPr>
          <w:rStyle w:val="a5"/>
          <w:color w:val="000000" w:themeColor="text1"/>
          <w:sz w:val="25"/>
          <w:szCs w:val="25"/>
        </w:rPr>
        <w:t xml:space="preserve">За данное решение проголосовало: «ЗА» </w:t>
      </w:r>
      <w:r w:rsidR="00061E0D" w:rsidRPr="00216CD9">
        <w:rPr>
          <w:rStyle w:val="a5"/>
          <w:color w:val="000000" w:themeColor="text1"/>
          <w:sz w:val="25"/>
          <w:szCs w:val="25"/>
        </w:rPr>
        <w:t>6</w:t>
      </w:r>
      <w:r w:rsidRPr="00216CD9">
        <w:rPr>
          <w:rStyle w:val="a5"/>
          <w:color w:val="000000" w:themeColor="text1"/>
          <w:sz w:val="25"/>
          <w:szCs w:val="25"/>
        </w:rPr>
        <w:t xml:space="preserve"> голосов; «ПРОТИВ» </w:t>
      </w:r>
      <w:r w:rsidR="009736F1" w:rsidRPr="00216CD9">
        <w:rPr>
          <w:rStyle w:val="a5"/>
          <w:color w:val="000000" w:themeColor="text1"/>
          <w:sz w:val="25"/>
          <w:szCs w:val="25"/>
        </w:rPr>
        <w:t>0</w:t>
      </w:r>
      <w:r w:rsidRPr="00216CD9">
        <w:rPr>
          <w:rStyle w:val="a5"/>
          <w:color w:val="000000" w:themeColor="text1"/>
          <w:sz w:val="25"/>
          <w:szCs w:val="25"/>
        </w:rPr>
        <w:t xml:space="preserve"> голосов.</w:t>
      </w:r>
    </w:p>
    <w:tbl>
      <w:tblPr>
        <w:tblpPr w:leftFromText="180" w:rightFromText="180" w:vertAnchor="text" w:horzAnchor="margin" w:tblpXSpec="right" w:tblpY="299"/>
        <w:tblW w:w="9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735"/>
        <w:gridCol w:w="3464"/>
      </w:tblGrid>
      <w:tr w:rsidR="009766A6" w:rsidRPr="00216CD9" w14:paraId="295CD71C" w14:textId="77777777" w:rsidTr="009766A6"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bookmarkEnd w:id="1"/>
          <w:p w14:paraId="5779F97A" w14:textId="77777777" w:rsidR="009766A6" w:rsidRPr="00216CD9" w:rsidRDefault="009766A6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Роль в комиссии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4ABB0" w14:textId="77777777" w:rsidR="009766A6" w:rsidRPr="00216CD9" w:rsidRDefault="009766A6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Подпись</w:t>
            </w:r>
          </w:p>
        </w:tc>
        <w:tc>
          <w:tcPr>
            <w:tcW w:w="3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B6E22" w14:textId="77777777" w:rsidR="009766A6" w:rsidRPr="00216CD9" w:rsidRDefault="009766A6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Ф.И.О.</w:t>
            </w:r>
          </w:p>
        </w:tc>
      </w:tr>
      <w:tr w:rsidR="00BB10E3" w:rsidRPr="00216CD9" w14:paraId="15F9C593" w14:textId="77777777" w:rsidTr="009325B1"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B50EF5" w14:textId="77777777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Председатель комиссии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BB946" w14:textId="5FCD2FEB" w:rsidR="00BB10E3" w:rsidRPr="00216CD9" w:rsidRDefault="00061E0D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Отпуск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F9E53" w14:textId="699E7440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Калиев Р.С. </w:t>
            </w:r>
          </w:p>
        </w:tc>
      </w:tr>
      <w:tr w:rsidR="00BB10E3" w:rsidRPr="00216CD9" w14:paraId="4DFAC98A" w14:textId="77777777" w:rsidTr="009325B1"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D4FC7" w14:textId="77777777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Заместитель председателя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A41AF" w14:textId="544710D7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06BFD9" w14:textId="7EDEB06F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Айдарова</w:t>
            </w:r>
            <w:proofErr w:type="spellEnd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Г.Е.</w:t>
            </w:r>
          </w:p>
        </w:tc>
      </w:tr>
      <w:tr w:rsidR="00BB10E3" w:rsidRPr="00216CD9" w14:paraId="1170F5DE" w14:textId="77777777" w:rsidTr="009325B1"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128794" w14:textId="77777777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Член комиссии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80771" w14:textId="6AEE5530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24940" w14:textId="402395D3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Оспанова</w:t>
            </w:r>
            <w:proofErr w:type="spellEnd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Г.Г.</w:t>
            </w:r>
          </w:p>
        </w:tc>
      </w:tr>
      <w:tr w:rsidR="00BB10E3" w:rsidRPr="00216CD9" w14:paraId="330DF25F" w14:textId="77777777" w:rsidTr="009325B1"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95026B" w14:textId="77777777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Член комиссии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A8243" w14:textId="5F4EBE7B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41171" w14:textId="3037911A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proofErr w:type="spellStart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Кайырбекова</w:t>
            </w:r>
            <w:proofErr w:type="spellEnd"/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А.Б.</w:t>
            </w:r>
          </w:p>
        </w:tc>
      </w:tr>
      <w:tr w:rsidR="00BB10E3" w:rsidRPr="00216CD9" w14:paraId="43A13F7F" w14:textId="77777777" w:rsidTr="009325B1"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17E394" w14:textId="77777777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Член комиссии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28007" w14:textId="0805BDCB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66F85" w14:textId="5EC656EE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val="kk-KZ"/>
              </w:rPr>
              <w:t>Киялов М.Г.</w:t>
            </w:r>
          </w:p>
        </w:tc>
      </w:tr>
      <w:tr w:rsidR="00BB10E3" w:rsidRPr="00216CD9" w14:paraId="70809850" w14:textId="77777777" w:rsidTr="009325B1"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0DC07C" w14:textId="77777777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Член комиссии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9E0440" w14:textId="661D2AF4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5F5BA" w14:textId="7A01C30C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Ш</w:t>
            </w:r>
            <w:r w:rsidRPr="00216CD9">
              <w:rPr>
                <w:rFonts w:ascii="Times New Roman" w:eastAsia="Times New Roman" w:hAnsi="Times New Roman"/>
                <w:sz w:val="25"/>
                <w:szCs w:val="25"/>
                <w:lang w:val="kk-KZ" w:eastAsia="ru-RU"/>
              </w:rPr>
              <w:t>ә</w:t>
            </w: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</w:t>
            </w:r>
            <w:r w:rsidRPr="00216CD9">
              <w:rPr>
                <w:rFonts w:ascii="Times New Roman" w:eastAsia="Times New Roman" w:hAnsi="Times New Roman"/>
                <w:sz w:val="25"/>
                <w:szCs w:val="25"/>
                <w:lang w:val="kk-KZ" w:eastAsia="ru-RU"/>
              </w:rPr>
              <w:t>і</w:t>
            </w: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 Д.О.</w:t>
            </w:r>
          </w:p>
        </w:tc>
      </w:tr>
      <w:tr w:rsidR="00BB10E3" w:rsidRPr="00216CD9" w14:paraId="44745E6B" w14:textId="77777777" w:rsidTr="009325B1"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603AAA" w14:textId="77777777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Член комиссии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B73A23" w14:textId="51D4A726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3E3B43" w14:textId="30A4945A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val="kk-KZ" w:eastAsia="ru-RU"/>
              </w:rPr>
              <w:t>Сулейменов А.Р.</w:t>
            </w:r>
          </w:p>
        </w:tc>
      </w:tr>
      <w:tr w:rsidR="00BB10E3" w:rsidRPr="00216CD9" w14:paraId="7FC1EA99" w14:textId="77777777" w:rsidTr="009325B1"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5709FC" w14:textId="77777777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Секретарь комиссии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6DD98" w14:textId="043073BC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FC9EA" w14:textId="34DC173D" w:rsidR="00BB10E3" w:rsidRPr="00216CD9" w:rsidRDefault="00BB10E3" w:rsidP="00216CD9">
            <w:pPr>
              <w:pStyle w:val="Standard"/>
              <w:spacing w:after="0" w:line="240" w:lineRule="auto"/>
              <w:contextualSpacing/>
              <w:jc w:val="both"/>
              <w:rPr>
                <w:sz w:val="25"/>
                <w:szCs w:val="25"/>
              </w:rPr>
            </w:pPr>
            <w:r w:rsidRPr="00216CD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Алимов Е.К.</w:t>
            </w:r>
          </w:p>
        </w:tc>
      </w:tr>
    </w:tbl>
    <w:p w14:paraId="71F9E7A5" w14:textId="77777777" w:rsidR="004B6E21" w:rsidRPr="00216CD9" w:rsidRDefault="004B6E21" w:rsidP="00216CD9">
      <w:pPr>
        <w:pStyle w:val="a6"/>
        <w:spacing w:after="0" w:line="240" w:lineRule="auto"/>
        <w:contextualSpacing/>
        <w:jc w:val="both"/>
        <w:rPr>
          <w:sz w:val="25"/>
          <w:szCs w:val="25"/>
        </w:rPr>
      </w:pPr>
    </w:p>
    <w:p w14:paraId="65B2E4EA" w14:textId="7A745121" w:rsidR="009466FD" w:rsidRPr="00216CD9" w:rsidRDefault="00BB10E3" w:rsidP="00216CD9">
      <w:pPr>
        <w:contextualSpacing/>
        <w:jc w:val="both"/>
        <w:rPr>
          <w:sz w:val="25"/>
          <w:szCs w:val="25"/>
        </w:rPr>
      </w:pPr>
      <w:r w:rsidRPr="00216CD9">
        <w:rPr>
          <w:sz w:val="25"/>
          <w:szCs w:val="25"/>
        </w:rPr>
        <w:t xml:space="preserve"> </w:t>
      </w:r>
    </w:p>
    <w:sectPr w:rsidR="009466FD" w:rsidRPr="00216CD9" w:rsidSect="00582C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E93"/>
    <w:multiLevelType w:val="hybridMultilevel"/>
    <w:tmpl w:val="A060F522"/>
    <w:lvl w:ilvl="0" w:tplc="D3ACEE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5BB"/>
    <w:multiLevelType w:val="hybridMultilevel"/>
    <w:tmpl w:val="991A100E"/>
    <w:lvl w:ilvl="0" w:tplc="7DF826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0FC8"/>
    <w:multiLevelType w:val="hybridMultilevel"/>
    <w:tmpl w:val="3788CC04"/>
    <w:lvl w:ilvl="0" w:tplc="4DE81A3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B5C23"/>
    <w:multiLevelType w:val="hybridMultilevel"/>
    <w:tmpl w:val="F1A8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C100E"/>
    <w:multiLevelType w:val="hybridMultilevel"/>
    <w:tmpl w:val="A8B6BB30"/>
    <w:lvl w:ilvl="0" w:tplc="A2484586">
      <w:start w:val="1"/>
      <w:numFmt w:val="decimal"/>
      <w:pStyle w:val="a"/>
      <w:lvlText w:val="%1."/>
      <w:lvlJc w:val="left"/>
      <w:pPr>
        <w:tabs>
          <w:tab w:val="num" w:pos="1701"/>
        </w:tabs>
        <w:ind w:left="1134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7D"/>
    <w:rsid w:val="00022524"/>
    <w:rsid w:val="0004421D"/>
    <w:rsid w:val="00045732"/>
    <w:rsid w:val="00061E0D"/>
    <w:rsid w:val="00070494"/>
    <w:rsid w:val="00087537"/>
    <w:rsid w:val="000A5D25"/>
    <w:rsid w:val="000B420C"/>
    <w:rsid w:val="000F3A45"/>
    <w:rsid w:val="00115D17"/>
    <w:rsid w:val="0015459E"/>
    <w:rsid w:val="00170612"/>
    <w:rsid w:val="00182BBF"/>
    <w:rsid w:val="001E3860"/>
    <w:rsid w:val="00216CD9"/>
    <w:rsid w:val="00226A19"/>
    <w:rsid w:val="0023270C"/>
    <w:rsid w:val="002401C1"/>
    <w:rsid w:val="00270D52"/>
    <w:rsid w:val="00271A6F"/>
    <w:rsid w:val="002B28C7"/>
    <w:rsid w:val="002D3D27"/>
    <w:rsid w:val="002D40B8"/>
    <w:rsid w:val="002E5683"/>
    <w:rsid w:val="002E6E26"/>
    <w:rsid w:val="00327BDC"/>
    <w:rsid w:val="00351B75"/>
    <w:rsid w:val="003523B5"/>
    <w:rsid w:val="003B00E1"/>
    <w:rsid w:val="003E2912"/>
    <w:rsid w:val="003F0922"/>
    <w:rsid w:val="004221F7"/>
    <w:rsid w:val="00424AFE"/>
    <w:rsid w:val="004458C8"/>
    <w:rsid w:val="0047215C"/>
    <w:rsid w:val="00485DAA"/>
    <w:rsid w:val="004937CC"/>
    <w:rsid w:val="004B6E21"/>
    <w:rsid w:val="005217B5"/>
    <w:rsid w:val="00581BDB"/>
    <w:rsid w:val="00582CD5"/>
    <w:rsid w:val="00595757"/>
    <w:rsid w:val="0061672F"/>
    <w:rsid w:val="00651D61"/>
    <w:rsid w:val="00666802"/>
    <w:rsid w:val="006B5FB5"/>
    <w:rsid w:val="006C681C"/>
    <w:rsid w:val="006E34E4"/>
    <w:rsid w:val="006E7EEC"/>
    <w:rsid w:val="006F1898"/>
    <w:rsid w:val="00710DF5"/>
    <w:rsid w:val="007758E7"/>
    <w:rsid w:val="00782680"/>
    <w:rsid w:val="00782724"/>
    <w:rsid w:val="007E1E30"/>
    <w:rsid w:val="008544B0"/>
    <w:rsid w:val="008A438E"/>
    <w:rsid w:val="008D2D42"/>
    <w:rsid w:val="008E434C"/>
    <w:rsid w:val="009466FD"/>
    <w:rsid w:val="009736F1"/>
    <w:rsid w:val="009766A6"/>
    <w:rsid w:val="009D407F"/>
    <w:rsid w:val="009E794D"/>
    <w:rsid w:val="009F306E"/>
    <w:rsid w:val="00A3450E"/>
    <w:rsid w:val="00A531D3"/>
    <w:rsid w:val="00A62884"/>
    <w:rsid w:val="00A7737A"/>
    <w:rsid w:val="00A853A5"/>
    <w:rsid w:val="00AC11F5"/>
    <w:rsid w:val="00AE2301"/>
    <w:rsid w:val="00B1687A"/>
    <w:rsid w:val="00B23BE6"/>
    <w:rsid w:val="00B445C7"/>
    <w:rsid w:val="00B53F31"/>
    <w:rsid w:val="00B54ED2"/>
    <w:rsid w:val="00B56B7B"/>
    <w:rsid w:val="00BA6230"/>
    <w:rsid w:val="00BB10E3"/>
    <w:rsid w:val="00BD0515"/>
    <w:rsid w:val="00BD4143"/>
    <w:rsid w:val="00BD745F"/>
    <w:rsid w:val="00BE0953"/>
    <w:rsid w:val="00C0667B"/>
    <w:rsid w:val="00C24FD9"/>
    <w:rsid w:val="00C511B8"/>
    <w:rsid w:val="00C55D82"/>
    <w:rsid w:val="00C56EFA"/>
    <w:rsid w:val="00C6257D"/>
    <w:rsid w:val="00C660AD"/>
    <w:rsid w:val="00C7131F"/>
    <w:rsid w:val="00D01F3C"/>
    <w:rsid w:val="00D16AB3"/>
    <w:rsid w:val="00D378DB"/>
    <w:rsid w:val="00D419FF"/>
    <w:rsid w:val="00D546A2"/>
    <w:rsid w:val="00D901A8"/>
    <w:rsid w:val="00DA1898"/>
    <w:rsid w:val="00DE6E96"/>
    <w:rsid w:val="00E20829"/>
    <w:rsid w:val="00E225D9"/>
    <w:rsid w:val="00E37E03"/>
    <w:rsid w:val="00E65F03"/>
    <w:rsid w:val="00E83549"/>
    <w:rsid w:val="00E93422"/>
    <w:rsid w:val="00EF228E"/>
    <w:rsid w:val="00F02195"/>
    <w:rsid w:val="00F0522D"/>
    <w:rsid w:val="00F114A4"/>
    <w:rsid w:val="00F22492"/>
    <w:rsid w:val="00F45EBF"/>
    <w:rsid w:val="00F76CF8"/>
    <w:rsid w:val="00F771D8"/>
    <w:rsid w:val="00FC5C23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EFB4"/>
  <w15:docId w15:val="{8DFE66DC-BCF9-4C00-AEC8-3DF247AD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C6257D"/>
    <w:pPr>
      <w:numPr>
        <w:numId w:val="1"/>
      </w:numPr>
      <w:contextualSpacing/>
    </w:pPr>
  </w:style>
  <w:style w:type="character" w:customStyle="1" w:styleId="a4">
    <w:name w:val="Абзац списка Знак"/>
    <w:link w:val="a"/>
    <w:uiPriority w:val="34"/>
    <w:rsid w:val="00C625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C6257D"/>
    <w:rPr>
      <w:rFonts w:ascii="Times New Roman" w:hAnsi="Times New Roman" w:cs="Times New Roman"/>
      <w:color w:val="333399"/>
      <w:u w:val="single"/>
    </w:rPr>
  </w:style>
  <w:style w:type="paragraph" w:styleId="a6">
    <w:name w:val="Normal (Web)"/>
    <w:basedOn w:val="a0"/>
    <w:uiPriority w:val="99"/>
    <w:rsid w:val="004B6E21"/>
    <w:pPr>
      <w:spacing w:after="200" w:line="276" w:lineRule="auto"/>
    </w:pPr>
    <w:rPr>
      <w:rFonts w:eastAsia="Calibri"/>
      <w:lang w:eastAsia="en-US"/>
    </w:rPr>
  </w:style>
  <w:style w:type="paragraph" w:styleId="a7">
    <w:name w:val="No Spacing"/>
    <w:link w:val="a8"/>
    <w:uiPriority w:val="1"/>
    <w:qFormat/>
    <w:rsid w:val="004B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4B6E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basedOn w:val="a0"/>
    <w:next w:val="a6"/>
    <w:uiPriority w:val="99"/>
    <w:rsid w:val="00E20829"/>
    <w:pPr>
      <w:spacing w:after="200" w:line="276" w:lineRule="auto"/>
    </w:pPr>
    <w:rPr>
      <w:rFonts w:eastAsia="Calibri"/>
      <w:lang w:eastAsia="en-US"/>
    </w:rPr>
  </w:style>
  <w:style w:type="paragraph" w:customStyle="1" w:styleId="Standard">
    <w:name w:val="Standard"/>
    <w:rsid w:val="001E386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UnresolvedMention">
    <w:name w:val="Unresolved Mention"/>
    <w:basedOn w:val="a1"/>
    <w:uiPriority w:val="99"/>
    <w:semiHidden/>
    <w:unhideWhenUsed/>
    <w:rsid w:val="006F1898"/>
    <w:rPr>
      <w:color w:val="605E5C"/>
      <w:shd w:val="clear" w:color="auto" w:fill="E1DFDD"/>
    </w:rPr>
  </w:style>
  <w:style w:type="paragraph" w:styleId="aa">
    <w:name w:val="Balloon Text"/>
    <w:basedOn w:val="a0"/>
    <w:link w:val="ab"/>
    <w:uiPriority w:val="99"/>
    <w:semiHidden/>
    <w:unhideWhenUsed/>
    <w:rsid w:val="008E43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43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Bolman</dc:creator>
  <cp:keywords/>
  <dc:description/>
  <cp:lastModifiedBy>Учетная запись Майкрософт</cp:lastModifiedBy>
  <cp:revision>2</cp:revision>
  <cp:lastPrinted>2022-01-31T10:22:00Z</cp:lastPrinted>
  <dcterms:created xsi:type="dcterms:W3CDTF">2022-01-31T11:24:00Z</dcterms:created>
  <dcterms:modified xsi:type="dcterms:W3CDTF">2022-01-31T11:24:00Z</dcterms:modified>
</cp:coreProperties>
</file>